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5AC" w:rsidRPr="00E75060" w:rsidRDefault="005D35AC" w:rsidP="005D35AC">
      <w:pPr>
        <w:pStyle w:val="Title"/>
        <w:rPr>
          <w:i w:val="0"/>
          <w:sz w:val="28"/>
          <w:szCs w:val="28"/>
        </w:rPr>
      </w:pPr>
      <w:r w:rsidRPr="00E75060">
        <w:rPr>
          <w:i w:val="0"/>
          <w:sz w:val="28"/>
          <w:szCs w:val="28"/>
        </w:rPr>
        <w:t>Lindley Sixth Grade Academy at the Barnes Center</w:t>
      </w:r>
    </w:p>
    <w:p w:rsidR="005D35AC" w:rsidRPr="007F6490" w:rsidRDefault="005D35AC" w:rsidP="005D35AC">
      <w:pPr>
        <w:pStyle w:val="Title"/>
        <w:rPr>
          <w:b w:val="0"/>
          <w:i w:val="0"/>
        </w:rPr>
      </w:pPr>
      <w:r w:rsidRPr="007F6490">
        <w:rPr>
          <w:b w:val="0"/>
          <w:i w:val="0"/>
        </w:rPr>
        <w:t xml:space="preserve">1550 </w:t>
      </w:r>
      <w:proofErr w:type="spellStart"/>
      <w:r w:rsidRPr="007F6490">
        <w:rPr>
          <w:b w:val="0"/>
          <w:i w:val="0"/>
        </w:rPr>
        <w:t>Pebblebrook</w:t>
      </w:r>
      <w:proofErr w:type="spellEnd"/>
      <w:r w:rsidRPr="007F6490">
        <w:rPr>
          <w:b w:val="0"/>
          <w:i w:val="0"/>
        </w:rPr>
        <w:t xml:space="preserve"> Circle, SE</w:t>
      </w:r>
    </w:p>
    <w:p w:rsidR="005D35AC" w:rsidRPr="007F6490" w:rsidRDefault="005D35AC" w:rsidP="005D35AC">
      <w:pPr>
        <w:pStyle w:val="Title"/>
        <w:rPr>
          <w:b w:val="0"/>
          <w:i w:val="0"/>
        </w:rPr>
      </w:pPr>
      <w:r w:rsidRPr="007F6490">
        <w:rPr>
          <w:b w:val="0"/>
          <w:i w:val="0"/>
        </w:rPr>
        <w:t>Mableton, GA 30126</w:t>
      </w:r>
    </w:p>
    <w:p w:rsidR="005D35AC" w:rsidRPr="007F6490" w:rsidRDefault="005D35AC" w:rsidP="005D35AC">
      <w:pPr>
        <w:pStyle w:val="Title"/>
        <w:rPr>
          <w:b w:val="0"/>
          <w:i w:val="0"/>
        </w:rPr>
      </w:pPr>
    </w:p>
    <w:p w:rsidR="005D35AC" w:rsidRPr="007F6490" w:rsidRDefault="005D35AC" w:rsidP="005D35AC">
      <w:pPr>
        <w:pStyle w:val="Title"/>
        <w:rPr>
          <w:b w:val="0"/>
          <w:i w:val="0"/>
        </w:rPr>
      </w:pPr>
      <w:r>
        <w:rPr>
          <w:b w:val="0"/>
          <w:i w:val="0"/>
        </w:rPr>
        <w:t xml:space="preserve">Phone: </w:t>
      </w:r>
      <w:r w:rsidRPr="007F6490">
        <w:rPr>
          <w:b w:val="0"/>
          <w:i w:val="0"/>
        </w:rPr>
        <w:t>770-819-2414</w:t>
      </w:r>
      <w:r>
        <w:rPr>
          <w:b w:val="0"/>
          <w:i w:val="0"/>
        </w:rPr>
        <w:t xml:space="preserve">     Fax: </w:t>
      </w:r>
      <w:r w:rsidRPr="007F6490">
        <w:rPr>
          <w:b w:val="0"/>
          <w:i w:val="0"/>
        </w:rPr>
        <w:t>770-819-2418 (fax)</w:t>
      </w:r>
    </w:p>
    <w:p w:rsidR="005D35AC" w:rsidRPr="007F6490" w:rsidRDefault="005D35AC" w:rsidP="005D35AC">
      <w:pPr>
        <w:pStyle w:val="Title"/>
        <w:rPr>
          <w:b w:val="0"/>
          <w:i w:val="0"/>
        </w:rPr>
      </w:pPr>
    </w:p>
    <w:p w:rsidR="005D35AC" w:rsidRPr="007F6490" w:rsidRDefault="005D35AC" w:rsidP="005D35AC">
      <w:pPr>
        <w:pStyle w:val="Title"/>
        <w:rPr>
          <w:b w:val="0"/>
          <w:i w:val="0"/>
        </w:rPr>
      </w:pPr>
      <w:r>
        <w:rPr>
          <w:b w:val="0"/>
          <w:i w:val="0"/>
        </w:rPr>
        <w:t xml:space="preserve">Dr. Denise Magee, </w:t>
      </w:r>
      <w:r w:rsidRPr="007F6490">
        <w:rPr>
          <w:b w:val="0"/>
          <w:i w:val="0"/>
        </w:rPr>
        <w:t xml:space="preserve">Principal </w:t>
      </w:r>
    </w:p>
    <w:p w:rsidR="005D35AC" w:rsidRPr="007F6490" w:rsidRDefault="005D35AC" w:rsidP="005D35AC">
      <w:pPr>
        <w:pStyle w:val="Title"/>
        <w:rPr>
          <w:b w:val="0"/>
          <w:i w:val="0"/>
        </w:rPr>
      </w:pPr>
    </w:p>
    <w:p w:rsidR="005D35AC" w:rsidRPr="00C21B44" w:rsidRDefault="005D35AC" w:rsidP="005D35AC">
      <w:pPr>
        <w:pStyle w:val="Heading1"/>
        <w:rPr>
          <w:i w:val="0"/>
          <w:szCs w:val="28"/>
        </w:rPr>
      </w:pPr>
      <w:r w:rsidRPr="007F6490">
        <w:rPr>
          <w:b w:val="0"/>
          <w:i w:val="0"/>
          <w:sz w:val="24"/>
        </w:rPr>
        <w:t xml:space="preserve"> </w:t>
      </w:r>
      <w:r w:rsidR="00C21B44" w:rsidRPr="00C21B44">
        <w:rPr>
          <w:i w:val="0"/>
          <w:szCs w:val="28"/>
        </w:rPr>
        <w:t xml:space="preserve">Advanced Math and </w:t>
      </w:r>
      <w:r w:rsidRPr="00C21B44">
        <w:rPr>
          <w:i w:val="0"/>
          <w:szCs w:val="28"/>
        </w:rPr>
        <w:t>Math 6/7</w:t>
      </w:r>
    </w:p>
    <w:p w:rsidR="00C21B44" w:rsidRPr="00C21B44" w:rsidRDefault="00C21B44" w:rsidP="00C21B44"/>
    <w:tbl>
      <w:tblPr>
        <w:tblW w:w="11712"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8"/>
        <w:gridCol w:w="3242"/>
        <w:gridCol w:w="2463"/>
        <w:gridCol w:w="4239"/>
      </w:tblGrid>
      <w:tr w:rsidR="00C21B44" w:rsidTr="00C21B44">
        <w:trPr>
          <w:trHeight w:val="275"/>
        </w:trPr>
        <w:tc>
          <w:tcPr>
            <w:tcW w:w="1768" w:type="dxa"/>
            <w:shd w:val="clear" w:color="auto" w:fill="auto"/>
          </w:tcPr>
          <w:p w:rsidR="00C21B44" w:rsidRDefault="00C21B44" w:rsidP="00F74830">
            <w:r>
              <w:t>Instructor</w:t>
            </w:r>
          </w:p>
        </w:tc>
        <w:tc>
          <w:tcPr>
            <w:tcW w:w="3242" w:type="dxa"/>
            <w:shd w:val="clear" w:color="auto" w:fill="auto"/>
          </w:tcPr>
          <w:p w:rsidR="00C21B44" w:rsidRDefault="00C21B44" w:rsidP="00F74830">
            <w:r>
              <w:t>Email Address</w:t>
            </w:r>
          </w:p>
        </w:tc>
        <w:tc>
          <w:tcPr>
            <w:tcW w:w="2463" w:type="dxa"/>
          </w:tcPr>
          <w:p w:rsidR="00C21B44" w:rsidRDefault="00C21B44" w:rsidP="00F74830">
            <w:r>
              <w:t>Tutoring Availability</w:t>
            </w:r>
          </w:p>
        </w:tc>
        <w:tc>
          <w:tcPr>
            <w:tcW w:w="4239" w:type="dxa"/>
          </w:tcPr>
          <w:p w:rsidR="00C21B44" w:rsidRDefault="00C21B44" w:rsidP="00F74830">
            <w:r>
              <w:t>Blog</w:t>
            </w:r>
          </w:p>
        </w:tc>
      </w:tr>
      <w:tr w:rsidR="00C21B44" w:rsidTr="00C21B44">
        <w:trPr>
          <w:trHeight w:val="291"/>
        </w:trPr>
        <w:tc>
          <w:tcPr>
            <w:tcW w:w="1768" w:type="dxa"/>
            <w:shd w:val="clear" w:color="auto" w:fill="auto"/>
          </w:tcPr>
          <w:p w:rsidR="00C21B44" w:rsidRDefault="00C21B44" w:rsidP="00F74830">
            <w:r>
              <w:t>David Stickle</w:t>
            </w:r>
          </w:p>
        </w:tc>
        <w:tc>
          <w:tcPr>
            <w:tcW w:w="3242" w:type="dxa"/>
            <w:shd w:val="clear" w:color="auto" w:fill="auto"/>
          </w:tcPr>
          <w:p w:rsidR="00C21B44" w:rsidRDefault="00B530C8" w:rsidP="00F74830">
            <w:hyperlink r:id="rId5" w:history="1">
              <w:r w:rsidR="00C21B44" w:rsidRPr="00DF233E">
                <w:rPr>
                  <w:rStyle w:val="Hyperlink"/>
                </w:rPr>
                <w:t>David.Stickle@cobbk12.org</w:t>
              </w:r>
            </w:hyperlink>
            <w:r w:rsidR="00C21B44">
              <w:t xml:space="preserve"> </w:t>
            </w:r>
          </w:p>
        </w:tc>
        <w:tc>
          <w:tcPr>
            <w:tcW w:w="2463" w:type="dxa"/>
          </w:tcPr>
          <w:p w:rsidR="00C21B44" w:rsidRDefault="00C21B44" w:rsidP="00F74830">
            <w:r>
              <w:t>Thursdays 8:10am-8:40am</w:t>
            </w:r>
          </w:p>
        </w:tc>
        <w:tc>
          <w:tcPr>
            <w:tcW w:w="4239" w:type="dxa"/>
          </w:tcPr>
          <w:p w:rsidR="00C21B44" w:rsidRDefault="009E2E5B" w:rsidP="00F74830">
            <w:r w:rsidRPr="009E2E5B">
              <w:t>https://davidstickle.weebly.com/</w:t>
            </w:r>
          </w:p>
        </w:tc>
      </w:tr>
    </w:tbl>
    <w:p w:rsidR="005D35AC" w:rsidRPr="00743D2A" w:rsidRDefault="005D35AC" w:rsidP="005D35AC">
      <w:r>
        <w:t>Parent verification and permission of tutorial session must be authorized with selected instructor before a student attends each session. Parent contact via email or school contact number with instructor is mandatory within a 48 hour period during the school week of the actual tutoring session.</w:t>
      </w:r>
    </w:p>
    <w:p w:rsidR="005D35AC" w:rsidRPr="002E3951" w:rsidRDefault="005D35AC" w:rsidP="005D35AC">
      <w:pPr>
        <w:pStyle w:val="AHeading-afterbody"/>
        <w:spacing w:before="0" w:after="0"/>
        <w:jc w:val="left"/>
        <w:rPr>
          <w:rFonts w:ascii="Times New Roman" w:hAnsi="Times New Roman" w:cs="Times New Roman"/>
          <w:b w:val="0"/>
          <w:bCs w:val="0"/>
          <w:caps w:val="0"/>
          <w:color w:val="auto"/>
        </w:rPr>
      </w:pPr>
    </w:p>
    <w:p w:rsidR="005D35AC" w:rsidRDefault="005D35AC" w:rsidP="005D35AC">
      <w:pPr>
        <w:rPr>
          <w:sz w:val="20"/>
          <w:szCs w:val="20"/>
        </w:rPr>
      </w:pPr>
      <w:r w:rsidRPr="002200F4">
        <w:rPr>
          <w:sz w:val="20"/>
          <w:szCs w:val="20"/>
        </w:rPr>
        <w:t>Textbooks:</w:t>
      </w:r>
      <w:r w:rsidRPr="002200F4">
        <w:rPr>
          <w:sz w:val="20"/>
          <w:szCs w:val="20"/>
        </w:rPr>
        <w:tab/>
      </w:r>
      <w:r>
        <w:rPr>
          <w:sz w:val="20"/>
          <w:szCs w:val="20"/>
        </w:rPr>
        <w:t>McGraw-Hill Georgia Math Grade 6 Textbook</w:t>
      </w:r>
      <w:r w:rsidRPr="002200F4">
        <w:rPr>
          <w:sz w:val="20"/>
          <w:szCs w:val="20"/>
        </w:rPr>
        <w:t>:</w:t>
      </w:r>
      <w:r>
        <w:rPr>
          <w:sz w:val="20"/>
          <w:szCs w:val="20"/>
        </w:rPr>
        <w:t xml:space="preserve">  $42.96 (each volume)</w:t>
      </w:r>
    </w:p>
    <w:p w:rsidR="005D35AC" w:rsidRDefault="005D35AC" w:rsidP="005D35AC">
      <w:pPr>
        <w:rPr>
          <w:sz w:val="20"/>
          <w:szCs w:val="20"/>
        </w:rPr>
      </w:pPr>
      <w:r>
        <w:rPr>
          <w:sz w:val="20"/>
          <w:szCs w:val="20"/>
        </w:rPr>
        <w:tab/>
      </w:r>
      <w:r>
        <w:rPr>
          <w:sz w:val="20"/>
          <w:szCs w:val="20"/>
        </w:rPr>
        <w:tab/>
        <w:t>McGraw-Hill Georgia Math Grade 6 Consumable: 9.99 (each edition)</w:t>
      </w:r>
    </w:p>
    <w:p w:rsidR="005D35AC" w:rsidRPr="002200F4" w:rsidRDefault="005D35AC" w:rsidP="005D35AC">
      <w:pPr>
        <w:rPr>
          <w:sz w:val="20"/>
          <w:szCs w:val="20"/>
        </w:rPr>
      </w:pPr>
    </w:p>
    <w:p w:rsidR="005D35AC" w:rsidRPr="002200F4" w:rsidRDefault="005D35AC" w:rsidP="005D35AC">
      <w:pPr>
        <w:rPr>
          <w:sz w:val="20"/>
          <w:szCs w:val="20"/>
        </w:rPr>
      </w:pPr>
    </w:p>
    <w:p w:rsidR="005D35AC" w:rsidRPr="002200F4" w:rsidRDefault="005D35AC" w:rsidP="005D35AC">
      <w:pPr>
        <w:pStyle w:val="Heading2"/>
        <w:rPr>
          <w:b w:val="0"/>
          <w:sz w:val="20"/>
          <w:szCs w:val="20"/>
        </w:rPr>
      </w:pPr>
      <w:r w:rsidRPr="002200F4">
        <w:rPr>
          <w:b w:val="0"/>
          <w:sz w:val="20"/>
          <w:szCs w:val="20"/>
          <w:u w:val="single"/>
        </w:rPr>
        <w:t>Course Description</w:t>
      </w:r>
      <w:r w:rsidRPr="002200F4">
        <w:rPr>
          <w:b w:val="0"/>
          <w:sz w:val="20"/>
          <w:szCs w:val="20"/>
        </w:rPr>
        <w:t xml:space="preserve">:  </w:t>
      </w:r>
    </w:p>
    <w:p w:rsidR="005D35AC" w:rsidRPr="002200F4" w:rsidRDefault="005D35AC" w:rsidP="005D35AC">
      <w:pPr>
        <w:autoSpaceDE w:val="0"/>
        <w:autoSpaceDN w:val="0"/>
        <w:adjustRightInd w:val="0"/>
        <w:rPr>
          <w:sz w:val="20"/>
          <w:szCs w:val="20"/>
        </w:rPr>
      </w:pPr>
      <w:r w:rsidRPr="002200F4">
        <w:rPr>
          <w:sz w:val="20"/>
          <w:szCs w:val="20"/>
        </w:rPr>
        <w:t>In Grade 6</w:t>
      </w:r>
      <w:r>
        <w:rPr>
          <w:sz w:val="20"/>
          <w:szCs w:val="20"/>
        </w:rPr>
        <w:t>/7</w:t>
      </w:r>
      <w:r w:rsidRPr="002200F4">
        <w:rPr>
          <w:sz w:val="20"/>
          <w:szCs w:val="20"/>
        </w:rPr>
        <w:t>, instructional time will focus on four critical areas: (1) connecting ratio and rate to whole number</w:t>
      </w:r>
    </w:p>
    <w:p w:rsidR="005D35AC" w:rsidRPr="002200F4" w:rsidRDefault="005D35AC" w:rsidP="005D35AC">
      <w:pPr>
        <w:autoSpaceDE w:val="0"/>
        <w:autoSpaceDN w:val="0"/>
        <w:adjustRightInd w:val="0"/>
        <w:rPr>
          <w:bCs/>
          <w:sz w:val="20"/>
          <w:szCs w:val="20"/>
        </w:rPr>
      </w:pPr>
      <w:r w:rsidRPr="002200F4">
        <w:rPr>
          <w:sz w:val="20"/>
          <w:szCs w:val="20"/>
        </w:rPr>
        <w:t>multiplication and division and using concepts of ratio and rate to solve problems; (2) completing understanding of division of fractions and extending the notion of number to the system of rational numbers, which includes negative numbers; (3) writing, interpreting, and using expressions and equations; and (4) developing understanding of statistical thinking.</w:t>
      </w:r>
      <w:r w:rsidRPr="002200F4">
        <w:rPr>
          <w:bCs/>
          <w:sz w:val="20"/>
          <w:szCs w:val="20"/>
        </w:rPr>
        <w:t>.</w:t>
      </w:r>
    </w:p>
    <w:p w:rsidR="005D35AC" w:rsidRPr="002E3951" w:rsidRDefault="005D35AC" w:rsidP="005D35AC">
      <w:pPr>
        <w:ind w:left="2160" w:hanging="2160"/>
        <w:jc w:val="both"/>
      </w:pPr>
    </w:p>
    <w:p w:rsidR="005D35AC" w:rsidRPr="002200F4" w:rsidRDefault="005D35AC" w:rsidP="005D35AC">
      <w:pPr>
        <w:ind w:left="2160" w:hanging="2160"/>
        <w:jc w:val="both"/>
        <w:rPr>
          <w:sz w:val="20"/>
          <w:szCs w:val="20"/>
          <w:u w:val="single"/>
        </w:rPr>
      </w:pPr>
      <w:r w:rsidRPr="002200F4">
        <w:rPr>
          <w:sz w:val="20"/>
          <w:szCs w:val="20"/>
          <w:u w:val="single"/>
        </w:rPr>
        <w:t>Content Description (</w:t>
      </w:r>
      <w:r>
        <w:rPr>
          <w:sz w:val="20"/>
          <w:szCs w:val="20"/>
          <w:u w:val="single"/>
        </w:rPr>
        <w:t>Blackboard Learn</w:t>
      </w:r>
      <w:r w:rsidRPr="002200F4">
        <w:rPr>
          <w:sz w:val="20"/>
          <w:szCs w:val="20"/>
          <w:u w:val="single"/>
        </w:rPr>
        <w:t xml:space="preserve"> Framework)</w:t>
      </w:r>
    </w:p>
    <w:p w:rsidR="005D35AC" w:rsidRPr="002200F4" w:rsidRDefault="005D35AC" w:rsidP="005D35AC">
      <w:pPr>
        <w:ind w:left="2160" w:hanging="2160"/>
        <w:jc w:val="both"/>
        <w:rPr>
          <w:sz w:val="20"/>
          <w:szCs w:val="20"/>
        </w:rPr>
      </w:pPr>
    </w:p>
    <w:tbl>
      <w:tblPr>
        <w:tblW w:w="1027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6"/>
        <w:gridCol w:w="5136"/>
      </w:tblGrid>
      <w:tr w:rsidR="005D35AC" w:rsidRPr="002200F4" w:rsidTr="00F74830">
        <w:trPr>
          <w:trHeight w:val="448"/>
        </w:trPr>
        <w:tc>
          <w:tcPr>
            <w:tcW w:w="5136" w:type="dxa"/>
            <w:vAlign w:val="center"/>
          </w:tcPr>
          <w:p w:rsidR="005D35AC" w:rsidRPr="002200F4" w:rsidRDefault="005D35AC" w:rsidP="00F74830">
            <w:pPr>
              <w:jc w:val="center"/>
              <w:rPr>
                <w:b/>
                <w:sz w:val="20"/>
                <w:szCs w:val="20"/>
              </w:rPr>
            </w:pPr>
            <w:r w:rsidRPr="002200F4">
              <w:rPr>
                <w:b/>
                <w:sz w:val="20"/>
                <w:szCs w:val="20"/>
              </w:rPr>
              <w:t>First Nine Weeks</w:t>
            </w:r>
          </w:p>
        </w:tc>
        <w:tc>
          <w:tcPr>
            <w:tcW w:w="5136" w:type="dxa"/>
            <w:vAlign w:val="center"/>
          </w:tcPr>
          <w:p w:rsidR="005D35AC" w:rsidRPr="002200F4" w:rsidRDefault="005D35AC" w:rsidP="00F74830">
            <w:pPr>
              <w:jc w:val="center"/>
              <w:rPr>
                <w:b/>
                <w:sz w:val="20"/>
                <w:szCs w:val="20"/>
              </w:rPr>
            </w:pPr>
            <w:r w:rsidRPr="002200F4">
              <w:rPr>
                <w:b/>
                <w:sz w:val="20"/>
                <w:szCs w:val="20"/>
              </w:rPr>
              <w:t>Second Nine Weeks</w:t>
            </w:r>
          </w:p>
        </w:tc>
      </w:tr>
      <w:tr w:rsidR="005D35AC" w:rsidRPr="002200F4" w:rsidTr="00F74830">
        <w:trPr>
          <w:trHeight w:val="723"/>
        </w:trPr>
        <w:tc>
          <w:tcPr>
            <w:tcW w:w="5136" w:type="dxa"/>
            <w:vAlign w:val="center"/>
          </w:tcPr>
          <w:p w:rsidR="005D35AC" w:rsidRPr="002200F4" w:rsidRDefault="005D35AC" w:rsidP="00F74830">
            <w:pPr>
              <w:rPr>
                <w:sz w:val="20"/>
                <w:szCs w:val="20"/>
              </w:rPr>
            </w:pPr>
            <w:r w:rsidRPr="002200F4">
              <w:rPr>
                <w:b/>
                <w:sz w:val="20"/>
                <w:szCs w:val="20"/>
              </w:rPr>
              <w:t>Unit 1</w:t>
            </w:r>
            <w:r w:rsidRPr="002200F4">
              <w:rPr>
                <w:sz w:val="20"/>
                <w:szCs w:val="20"/>
              </w:rPr>
              <w:t xml:space="preserve"> – Number System Fluency</w:t>
            </w:r>
          </w:p>
        </w:tc>
        <w:tc>
          <w:tcPr>
            <w:tcW w:w="5136" w:type="dxa"/>
            <w:vAlign w:val="center"/>
          </w:tcPr>
          <w:p w:rsidR="005D35AC" w:rsidRPr="002200F4" w:rsidRDefault="005D35AC" w:rsidP="00F74830">
            <w:pPr>
              <w:rPr>
                <w:sz w:val="20"/>
                <w:szCs w:val="20"/>
              </w:rPr>
            </w:pPr>
            <w:r w:rsidRPr="002200F4">
              <w:rPr>
                <w:b/>
                <w:sz w:val="20"/>
                <w:szCs w:val="20"/>
              </w:rPr>
              <w:t xml:space="preserve">Unit 3 – </w:t>
            </w:r>
            <w:r w:rsidRPr="002200F4">
              <w:rPr>
                <w:sz w:val="20"/>
                <w:szCs w:val="20"/>
              </w:rPr>
              <w:t>Expressions</w:t>
            </w:r>
          </w:p>
        </w:tc>
      </w:tr>
      <w:tr w:rsidR="005D35AC" w:rsidRPr="002200F4" w:rsidTr="005D35AC">
        <w:trPr>
          <w:trHeight w:val="723"/>
        </w:trPr>
        <w:tc>
          <w:tcPr>
            <w:tcW w:w="5136" w:type="dxa"/>
            <w:vAlign w:val="center"/>
          </w:tcPr>
          <w:p w:rsidR="005D35AC" w:rsidRPr="002200F4" w:rsidRDefault="005D35AC" w:rsidP="00F74830">
            <w:pPr>
              <w:rPr>
                <w:sz w:val="20"/>
                <w:szCs w:val="20"/>
              </w:rPr>
            </w:pPr>
            <w:r w:rsidRPr="002200F4">
              <w:rPr>
                <w:b/>
                <w:sz w:val="20"/>
                <w:szCs w:val="20"/>
              </w:rPr>
              <w:t>Unit 2</w:t>
            </w:r>
            <w:r w:rsidRPr="002200F4">
              <w:rPr>
                <w:sz w:val="20"/>
                <w:szCs w:val="20"/>
              </w:rPr>
              <w:t xml:space="preserve"> – Rate, Ratios &amp; Proportional Reasoning Using Equivalent Fractions</w:t>
            </w:r>
          </w:p>
        </w:tc>
        <w:tc>
          <w:tcPr>
            <w:tcW w:w="5136" w:type="dxa"/>
            <w:vAlign w:val="center"/>
          </w:tcPr>
          <w:p w:rsidR="005D35AC" w:rsidRPr="002200F4" w:rsidRDefault="005D35AC" w:rsidP="00F74830">
            <w:pPr>
              <w:rPr>
                <w:sz w:val="20"/>
                <w:szCs w:val="20"/>
              </w:rPr>
            </w:pPr>
            <w:r w:rsidRPr="002200F4">
              <w:rPr>
                <w:b/>
                <w:sz w:val="20"/>
                <w:szCs w:val="20"/>
              </w:rPr>
              <w:t>Unit 4</w:t>
            </w:r>
            <w:r w:rsidRPr="002200F4">
              <w:rPr>
                <w:sz w:val="20"/>
                <w:szCs w:val="20"/>
              </w:rPr>
              <w:t xml:space="preserve"> – One-Step Equations &amp; Inequalities </w:t>
            </w:r>
          </w:p>
        </w:tc>
      </w:tr>
      <w:tr w:rsidR="005D35AC" w:rsidRPr="002200F4" w:rsidTr="00F74830">
        <w:trPr>
          <w:trHeight w:val="723"/>
        </w:trPr>
        <w:tc>
          <w:tcPr>
            <w:tcW w:w="5136" w:type="dxa"/>
            <w:tcBorders>
              <w:bottom w:val="single" w:sz="4" w:space="0" w:color="auto"/>
            </w:tcBorders>
            <w:vAlign w:val="center"/>
          </w:tcPr>
          <w:p w:rsidR="005D35AC" w:rsidRPr="002200F4" w:rsidRDefault="005D35AC" w:rsidP="00F74830">
            <w:pPr>
              <w:rPr>
                <w:b/>
                <w:sz w:val="20"/>
                <w:szCs w:val="20"/>
              </w:rPr>
            </w:pPr>
          </w:p>
        </w:tc>
        <w:tc>
          <w:tcPr>
            <w:tcW w:w="5136" w:type="dxa"/>
            <w:vAlign w:val="center"/>
          </w:tcPr>
          <w:p w:rsidR="005D35AC" w:rsidRPr="002200F4" w:rsidRDefault="005D35AC" w:rsidP="005D35AC">
            <w:pPr>
              <w:rPr>
                <w:b/>
                <w:sz w:val="20"/>
                <w:szCs w:val="20"/>
              </w:rPr>
            </w:pPr>
            <w:r w:rsidRPr="002200F4">
              <w:rPr>
                <w:b/>
                <w:sz w:val="20"/>
                <w:szCs w:val="20"/>
              </w:rPr>
              <w:t xml:space="preserve">Unit </w:t>
            </w:r>
            <w:r>
              <w:rPr>
                <w:b/>
                <w:sz w:val="20"/>
                <w:szCs w:val="20"/>
              </w:rPr>
              <w:t>5</w:t>
            </w:r>
            <w:r w:rsidRPr="002200F4">
              <w:rPr>
                <w:sz w:val="20"/>
                <w:szCs w:val="20"/>
              </w:rPr>
              <w:t xml:space="preserve"> – </w:t>
            </w:r>
            <w:r>
              <w:rPr>
                <w:sz w:val="20"/>
                <w:szCs w:val="20"/>
              </w:rPr>
              <w:t>Area and Volume</w:t>
            </w:r>
          </w:p>
        </w:tc>
      </w:tr>
    </w:tbl>
    <w:p w:rsidR="005D35AC" w:rsidRPr="002200F4" w:rsidRDefault="005D35AC" w:rsidP="005D35AC">
      <w:pPr>
        <w:ind w:left="2160" w:hanging="2160"/>
        <w:jc w:val="both"/>
        <w:rPr>
          <w:sz w:val="20"/>
          <w:szCs w:val="20"/>
        </w:rPr>
      </w:pPr>
    </w:p>
    <w:p w:rsidR="005D35AC" w:rsidRPr="002200F4" w:rsidRDefault="005D35AC" w:rsidP="005D35AC">
      <w:pPr>
        <w:ind w:left="360"/>
        <w:jc w:val="both"/>
        <w:rPr>
          <w:sz w:val="20"/>
          <w:szCs w:val="20"/>
        </w:rPr>
      </w:pPr>
      <w:r w:rsidRPr="002200F4">
        <w:rPr>
          <w:sz w:val="20"/>
          <w:szCs w:val="20"/>
        </w:rPr>
        <w:tab/>
      </w:r>
      <w:r w:rsidRPr="002200F4">
        <w:rPr>
          <w:sz w:val="20"/>
          <w:szCs w:val="20"/>
        </w:rPr>
        <w:tab/>
      </w:r>
      <w:r w:rsidRPr="002200F4">
        <w:rPr>
          <w:sz w:val="20"/>
          <w:szCs w:val="20"/>
        </w:rPr>
        <w:tab/>
      </w:r>
      <w:r w:rsidRPr="002200F4">
        <w:rPr>
          <w:sz w:val="20"/>
          <w:szCs w:val="20"/>
        </w:rPr>
        <w:tab/>
      </w:r>
    </w:p>
    <w:p w:rsidR="005D35AC" w:rsidRPr="002200F4" w:rsidRDefault="005D35AC" w:rsidP="005D35AC">
      <w:pPr>
        <w:rPr>
          <w:b/>
          <w:sz w:val="20"/>
          <w:szCs w:val="20"/>
          <w:u w:val="single"/>
        </w:rPr>
      </w:pPr>
      <w:r w:rsidRPr="002200F4">
        <w:rPr>
          <w:b/>
          <w:sz w:val="20"/>
          <w:szCs w:val="20"/>
          <w:u w:val="single"/>
        </w:rPr>
        <w:t xml:space="preserve">Grade Weights </w:t>
      </w:r>
    </w:p>
    <w:p w:rsidR="005D35AC" w:rsidRPr="002200F4" w:rsidRDefault="005D35AC" w:rsidP="005D35AC">
      <w:pPr>
        <w:rPr>
          <w:sz w:val="20"/>
          <w:szCs w:val="20"/>
        </w:rPr>
      </w:pPr>
      <w:r w:rsidRPr="002200F4">
        <w:rPr>
          <w:sz w:val="20"/>
          <w:szCs w:val="20"/>
        </w:rPr>
        <w:tab/>
      </w:r>
    </w:p>
    <w:p w:rsidR="005D35AC" w:rsidRPr="002200F4" w:rsidRDefault="001E4020" w:rsidP="005D35AC">
      <w:pPr>
        <w:numPr>
          <w:ilvl w:val="0"/>
          <w:numId w:val="1"/>
        </w:numPr>
        <w:rPr>
          <w:sz w:val="20"/>
          <w:szCs w:val="20"/>
        </w:rPr>
      </w:pPr>
      <w:r>
        <w:rPr>
          <w:sz w:val="20"/>
          <w:szCs w:val="20"/>
        </w:rPr>
        <w:t>40</w:t>
      </w:r>
      <w:r w:rsidR="005D35AC" w:rsidRPr="002200F4">
        <w:rPr>
          <w:sz w:val="20"/>
          <w:szCs w:val="20"/>
        </w:rPr>
        <w:t>%</w:t>
      </w:r>
      <w:r w:rsidR="005D35AC" w:rsidRPr="002200F4">
        <w:rPr>
          <w:sz w:val="20"/>
          <w:szCs w:val="20"/>
        </w:rPr>
        <w:tab/>
        <w:t xml:space="preserve">Independent Practice </w:t>
      </w:r>
      <w:r w:rsidR="005D35AC">
        <w:rPr>
          <w:sz w:val="20"/>
          <w:szCs w:val="20"/>
        </w:rPr>
        <w:t xml:space="preserve"> (Class assignments, Informal Assignments)</w:t>
      </w:r>
    </w:p>
    <w:p w:rsidR="005D35AC" w:rsidRPr="002200F4" w:rsidRDefault="005D35AC" w:rsidP="005D35AC">
      <w:pPr>
        <w:numPr>
          <w:ilvl w:val="0"/>
          <w:numId w:val="1"/>
        </w:numPr>
        <w:rPr>
          <w:sz w:val="20"/>
          <w:szCs w:val="20"/>
        </w:rPr>
      </w:pPr>
      <w:r w:rsidRPr="002200F4">
        <w:rPr>
          <w:sz w:val="20"/>
          <w:szCs w:val="20"/>
        </w:rPr>
        <w:t>35%</w:t>
      </w:r>
      <w:r w:rsidRPr="002200F4">
        <w:rPr>
          <w:sz w:val="20"/>
          <w:szCs w:val="20"/>
        </w:rPr>
        <w:tab/>
        <w:t xml:space="preserve">Formative </w:t>
      </w:r>
      <w:r>
        <w:rPr>
          <w:sz w:val="20"/>
          <w:szCs w:val="20"/>
        </w:rPr>
        <w:t>(Quizzes, Unit Tests, Formal Assessments)</w:t>
      </w:r>
    </w:p>
    <w:p w:rsidR="005D35AC" w:rsidRPr="002200F4" w:rsidRDefault="001E4020" w:rsidP="005D35AC">
      <w:pPr>
        <w:numPr>
          <w:ilvl w:val="0"/>
          <w:numId w:val="1"/>
        </w:numPr>
        <w:rPr>
          <w:sz w:val="20"/>
          <w:szCs w:val="20"/>
        </w:rPr>
      </w:pPr>
      <w:r>
        <w:rPr>
          <w:sz w:val="20"/>
          <w:szCs w:val="20"/>
        </w:rPr>
        <w:t>25</w:t>
      </w:r>
      <w:bookmarkStart w:id="0" w:name="_GoBack"/>
      <w:bookmarkEnd w:id="0"/>
      <w:r w:rsidR="005D35AC" w:rsidRPr="002200F4">
        <w:rPr>
          <w:sz w:val="20"/>
          <w:szCs w:val="20"/>
        </w:rPr>
        <w:t>%</w:t>
      </w:r>
      <w:r w:rsidR="005D35AC" w:rsidRPr="002200F4">
        <w:rPr>
          <w:sz w:val="20"/>
          <w:szCs w:val="20"/>
        </w:rPr>
        <w:tab/>
        <w:t>Summative</w:t>
      </w:r>
      <w:r w:rsidR="005D35AC">
        <w:rPr>
          <w:sz w:val="20"/>
          <w:szCs w:val="20"/>
        </w:rPr>
        <w:t xml:space="preserve"> (Mid-Term Exam,  Post Test/End of Semester Exam, Projects) </w:t>
      </w:r>
    </w:p>
    <w:p w:rsidR="005D35AC" w:rsidRPr="002200F4" w:rsidRDefault="005D35AC" w:rsidP="005D35AC">
      <w:pPr>
        <w:pStyle w:val="BodyText"/>
        <w:rPr>
          <w:bCs/>
          <w:szCs w:val="20"/>
        </w:rPr>
      </w:pPr>
    </w:p>
    <w:p w:rsidR="005D35AC" w:rsidRPr="002200F4" w:rsidRDefault="005D35AC" w:rsidP="005D35AC">
      <w:pPr>
        <w:pStyle w:val="BodyText"/>
        <w:jc w:val="center"/>
        <w:rPr>
          <w:bCs/>
          <w:szCs w:val="20"/>
        </w:rPr>
      </w:pPr>
    </w:p>
    <w:p w:rsidR="005D35AC" w:rsidRPr="002200F4" w:rsidRDefault="005D35AC" w:rsidP="005D35AC">
      <w:pPr>
        <w:pStyle w:val="BodyTextIndent3"/>
        <w:ind w:left="2880" w:hanging="2880"/>
        <w:jc w:val="center"/>
        <w:rPr>
          <w:b/>
          <w:szCs w:val="20"/>
          <w:u w:val="single"/>
        </w:rPr>
      </w:pPr>
      <w:r w:rsidRPr="002200F4">
        <w:rPr>
          <w:b/>
          <w:szCs w:val="20"/>
          <w:u w:val="single"/>
        </w:rPr>
        <w:t>Instructional Strategies</w:t>
      </w:r>
    </w:p>
    <w:p w:rsidR="005D35AC" w:rsidRPr="002200F4" w:rsidRDefault="005D35AC" w:rsidP="005D35AC">
      <w:pPr>
        <w:pStyle w:val="BodyTextIndent3"/>
        <w:ind w:left="2880" w:hanging="2880"/>
        <w:rPr>
          <w:szCs w:val="20"/>
        </w:rPr>
      </w:pPr>
    </w:p>
    <w:p w:rsidR="005D35AC" w:rsidRPr="002200F4" w:rsidRDefault="005D35AC" w:rsidP="005D35AC">
      <w:pPr>
        <w:pStyle w:val="BodyTextIndent3"/>
        <w:ind w:left="0" w:firstLine="0"/>
        <w:rPr>
          <w:szCs w:val="20"/>
        </w:rPr>
      </w:pPr>
      <w:r w:rsidRPr="002200F4">
        <w:rPr>
          <w:szCs w:val="20"/>
        </w:rPr>
        <w:t>The following instructional strategies will be used to enhance student achievement:  use of</w:t>
      </w:r>
    </w:p>
    <w:p w:rsidR="005D35AC" w:rsidRPr="002200F4" w:rsidRDefault="005D35AC" w:rsidP="005D35AC">
      <w:pPr>
        <w:pStyle w:val="BodyTextIndent3"/>
        <w:ind w:left="0" w:firstLine="0"/>
        <w:rPr>
          <w:szCs w:val="20"/>
        </w:rPr>
      </w:pPr>
      <w:proofErr w:type="gramStart"/>
      <w:r w:rsidRPr="002200F4">
        <w:rPr>
          <w:szCs w:val="20"/>
        </w:rPr>
        <w:t>manipulatives</w:t>
      </w:r>
      <w:proofErr w:type="gramEnd"/>
      <w:r w:rsidRPr="002200F4">
        <w:rPr>
          <w:szCs w:val="20"/>
        </w:rPr>
        <w:t xml:space="preserve">, advanced graphic organizers, interactive word walls; working in collaborative pairs, cooperative groups; writing across the curriculum; reading across the curriculum as well as additional strategies that meet the needs of the individual students.  </w:t>
      </w:r>
    </w:p>
    <w:p w:rsidR="005D35AC" w:rsidRDefault="005D35AC" w:rsidP="005D35AC">
      <w:pPr>
        <w:widowControl w:val="0"/>
        <w:jc w:val="center"/>
        <w:rPr>
          <w:b/>
          <w:bCs/>
          <w:sz w:val="20"/>
          <w:szCs w:val="20"/>
          <w:u w:val="single"/>
        </w:rPr>
      </w:pPr>
    </w:p>
    <w:p w:rsidR="005D35AC" w:rsidRDefault="005D35AC" w:rsidP="005D35AC">
      <w:pPr>
        <w:widowControl w:val="0"/>
        <w:jc w:val="center"/>
        <w:rPr>
          <w:b/>
          <w:bCs/>
          <w:sz w:val="20"/>
          <w:szCs w:val="20"/>
          <w:u w:val="single"/>
        </w:rPr>
      </w:pPr>
    </w:p>
    <w:p w:rsidR="005D35AC" w:rsidRDefault="005D35AC" w:rsidP="005D35AC">
      <w:pPr>
        <w:widowControl w:val="0"/>
        <w:jc w:val="center"/>
        <w:rPr>
          <w:b/>
          <w:bCs/>
          <w:sz w:val="20"/>
          <w:szCs w:val="20"/>
          <w:u w:val="single"/>
        </w:rPr>
      </w:pPr>
    </w:p>
    <w:p w:rsidR="005D35AC" w:rsidRDefault="005D35AC" w:rsidP="005D35AC">
      <w:pPr>
        <w:widowControl w:val="0"/>
        <w:jc w:val="center"/>
        <w:rPr>
          <w:b/>
          <w:bCs/>
          <w:sz w:val="20"/>
          <w:szCs w:val="20"/>
          <w:u w:val="single"/>
        </w:rPr>
      </w:pPr>
    </w:p>
    <w:p w:rsidR="005D35AC" w:rsidRDefault="005D35AC" w:rsidP="005D35AC">
      <w:pPr>
        <w:widowControl w:val="0"/>
        <w:jc w:val="center"/>
        <w:rPr>
          <w:b/>
          <w:bCs/>
          <w:sz w:val="20"/>
          <w:szCs w:val="20"/>
          <w:u w:val="single"/>
        </w:rPr>
      </w:pPr>
    </w:p>
    <w:p w:rsidR="005D35AC" w:rsidRDefault="005D35AC" w:rsidP="005D35AC">
      <w:pPr>
        <w:widowControl w:val="0"/>
        <w:jc w:val="center"/>
        <w:rPr>
          <w:b/>
          <w:bCs/>
          <w:sz w:val="20"/>
          <w:szCs w:val="20"/>
          <w:u w:val="single"/>
        </w:rPr>
      </w:pPr>
    </w:p>
    <w:p w:rsidR="005D35AC" w:rsidRPr="002200F4" w:rsidRDefault="005D35AC" w:rsidP="005D35AC">
      <w:pPr>
        <w:widowControl w:val="0"/>
        <w:jc w:val="center"/>
        <w:rPr>
          <w:b/>
          <w:bCs/>
          <w:sz w:val="20"/>
          <w:szCs w:val="20"/>
          <w:u w:val="single"/>
        </w:rPr>
      </w:pPr>
      <w:r w:rsidRPr="002200F4">
        <w:rPr>
          <w:b/>
          <w:bCs/>
          <w:sz w:val="20"/>
          <w:szCs w:val="20"/>
          <w:u w:val="single"/>
        </w:rPr>
        <w:t xml:space="preserve">Progress Reports / Report Cards </w:t>
      </w:r>
    </w:p>
    <w:p w:rsidR="005D35AC" w:rsidRPr="002200F4" w:rsidRDefault="005D35AC" w:rsidP="005D35AC">
      <w:pPr>
        <w:widowControl w:val="0"/>
        <w:rPr>
          <w:bCs/>
          <w:sz w:val="20"/>
          <w:szCs w:val="20"/>
        </w:rPr>
      </w:pPr>
    </w:p>
    <w:p w:rsidR="005D35AC" w:rsidRPr="002200F4" w:rsidRDefault="005D35AC" w:rsidP="005D35AC">
      <w:pPr>
        <w:widowControl w:val="0"/>
        <w:rPr>
          <w:sz w:val="20"/>
          <w:szCs w:val="20"/>
        </w:rPr>
      </w:pPr>
      <w:r w:rsidRPr="002200F4">
        <w:rPr>
          <w:sz w:val="20"/>
          <w:szCs w:val="20"/>
        </w:rPr>
        <w:t xml:space="preserve">Middle schools operate on a </w:t>
      </w:r>
      <w:r>
        <w:rPr>
          <w:sz w:val="20"/>
          <w:szCs w:val="20"/>
        </w:rPr>
        <w:t>semester</w:t>
      </w:r>
      <w:r w:rsidRPr="002200F4">
        <w:rPr>
          <w:sz w:val="20"/>
          <w:szCs w:val="20"/>
        </w:rPr>
        <w:t xml:space="preserve"> grading system. Students will receive a progress report at the end of </w:t>
      </w:r>
      <w:r>
        <w:rPr>
          <w:sz w:val="20"/>
          <w:szCs w:val="20"/>
        </w:rPr>
        <w:t>six weeks and twelve</w:t>
      </w:r>
      <w:r w:rsidRPr="002200F4">
        <w:rPr>
          <w:sz w:val="20"/>
          <w:szCs w:val="20"/>
        </w:rPr>
        <w:t xml:space="preserve"> weeks.</w:t>
      </w:r>
      <w:r>
        <w:rPr>
          <w:sz w:val="20"/>
          <w:szCs w:val="20"/>
        </w:rPr>
        <w:t xml:space="preserve">   </w:t>
      </w:r>
      <w:r w:rsidRPr="002200F4">
        <w:rPr>
          <w:sz w:val="20"/>
          <w:szCs w:val="20"/>
        </w:rPr>
        <w:t xml:space="preserve"> Students will receive report cards </w:t>
      </w:r>
      <w:r>
        <w:rPr>
          <w:sz w:val="20"/>
          <w:szCs w:val="20"/>
        </w:rPr>
        <w:t>at the end of</w:t>
      </w:r>
      <w:r w:rsidRPr="002200F4">
        <w:rPr>
          <w:sz w:val="20"/>
          <w:szCs w:val="20"/>
        </w:rPr>
        <w:t xml:space="preserve"> </w:t>
      </w:r>
      <w:r>
        <w:rPr>
          <w:sz w:val="20"/>
          <w:szCs w:val="20"/>
        </w:rPr>
        <w:t>eighteen</w:t>
      </w:r>
      <w:r w:rsidRPr="002200F4">
        <w:rPr>
          <w:sz w:val="20"/>
          <w:szCs w:val="20"/>
        </w:rPr>
        <w:t xml:space="preserve"> weeks.  </w:t>
      </w:r>
    </w:p>
    <w:p w:rsidR="005D35AC" w:rsidRPr="002200F4" w:rsidRDefault="005D35AC" w:rsidP="005D35AC">
      <w:pPr>
        <w:pStyle w:val="BodyText"/>
        <w:rPr>
          <w:szCs w:val="20"/>
        </w:rPr>
      </w:pPr>
    </w:p>
    <w:p w:rsidR="005D35AC" w:rsidRPr="002200F4" w:rsidRDefault="005D35AC" w:rsidP="005D35AC">
      <w:pPr>
        <w:widowControl w:val="0"/>
        <w:rPr>
          <w:sz w:val="20"/>
          <w:szCs w:val="20"/>
        </w:rPr>
      </w:pPr>
      <w:r w:rsidRPr="002200F4">
        <w:rPr>
          <w:sz w:val="20"/>
          <w:szCs w:val="20"/>
        </w:rPr>
        <w:t xml:space="preserve">Progress reports do serve as the official notification for parents if their child is in danger of receiving a D or an F.  Distribution dates are available at www.cobbk12.org.  </w:t>
      </w:r>
    </w:p>
    <w:p w:rsidR="005D35AC" w:rsidRPr="002200F4" w:rsidRDefault="005D35AC" w:rsidP="005D35AC">
      <w:pPr>
        <w:widowControl w:val="0"/>
        <w:rPr>
          <w:sz w:val="20"/>
          <w:szCs w:val="20"/>
        </w:rPr>
      </w:pPr>
    </w:p>
    <w:p w:rsidR="005D35AC" w:rsidRPr="002200F4" w:rsidRDefault="005D35AC" w:rsidP="005D35AC">
      <w:pPr>
        <w:jc w:val="both"/>
        <w:rPr>
          <w:sz w:val="20"/>
          <w:szCs w:val="20"/>
        </w:rPr>
      </w:pPr>
    </w:p>
    <w:p w:rsidR="005D35AC" w:rsidRPr="002200F4" w:rsidRDefault="005D35AC" w:rsidP="005D35AC">
      <w:pPr>
        <w:ind w:left="1440" w:hanging="1440"/>
        <w:jc w:val="center"/>
        <w:rPr>
          <w:sz w:val="20"/>
          <w:szCs w:val="20"/>
        </w:rPr>
      </w:pPr>
      <w:r w:rsidRPr="002200F4">
        <w:rPr>
          <w:sz w:val="20"/>
          <w:szCs w:val="20"/>
        </w:rPr>
        <w:t>Tutorial</w:t>
      </w:r>
    </w:p>
    <w:p w:rsidR="005D35AC" w:rsidRPr="002200F4" w:rsidRDefault="005D35AC" w:rsidP="005D35AC">
      <w:pPr>
        <w:ind w:left="1440" w:hanging="1440"/>
        <w:jc w:val="both"/>
        <w:rPr>
          <w:sz w:val="20"/>
          <w:szCs w:val="20"/>
        </w:rPr>
      </w:pPr>
    </w:p>
    <w:p w:rsidR="005D35AC" w:rsidRPr="002200F4" w:rsidRDefault="005D35AC" w:rsidP="005D35AC">
      <w:pPr>
        <w:jc w:val="both"/>
        <w:rPr>
          <w:b/>
          <w:i/>
          <w:sz w:val="20"/>
          <w:szCs w:val="20"/>
          <w:u w:val="single"/>
        </w:rPr>
      </w:pPr>
      <w:r w:rsidRPr="002200F4">
        <w:rPr>
          <w:sz w:val="20"/>
          <w:szCs w:val="20"/>
        </w:rPr>
        <w:t xml:space="preserve">Before and/or after school tutorial will be available for all students interested in getting extra help or for enrichment.  Tutorial days and times will be determined by the teacher.  </w:t>
      </w:r>
      <w:r w:rsidRPr="002200F4">
        <w:rPr>
          <w:b/>
          <w:i/>
          <w:sz w:val="20"/>
          <w:szCs w:val="20"/>
          <w:u w:val="single"/>
        </w:rPr>
        <w:t xml:space="preserve">It is the parent’s responsibility to provide transportation.  </w:t>
      </w:r>
    </w:p>
    <w:p w:rsidR="005D35AC" w:rsidRPr="002200F4" w:rsidRDefault="005D35AC" w:rsidP="005D35AC">
      <w:pPr>
        <w:ind w:left="1440" w:hanging="1440"/>
        <w:jc w:val="center"/>
        <w:rPr>
          <w:sz w:val="20"/>
          <w:szCs w:val="20"/>
        </w:rPr>
      </w:pPr>
    </w:p>
    <w:p w:rsidR="005D35AC" w:rsidRPr="002200F4" w:rsidRDefault="005D35AC" w:rsidP="005D35AC">
      <w:pPr>
        <w:ind w:left="1440" w:hanging="1440"/>
        <w:jc w:val="center"/>
        <w:rPr>
          <w:sz w:val="20"/>
          <w:szCs w:val="20"/>
        </w:rPr>
      </w:pPr>
    </w:p>
    <w:p w:rsidR="005D35AC" w:rsidRPr="002200F4" w:rsidRDefault="005D35AC" w:rsidP="005D35AC">
      <w:pPr>
        <w:ind w:left="1440" w:hanging="1440"/>
        <w:jc w:val="center"/>
        <w:rPr>
          <w:sz w:val="20"/>
          <w:szCs w:val="20"/>
        </w:rPr>
      </w:pPr>
      <w:r w:rsidRPr="002200F4">
        <w:rPr>
          <w:sz w:val="20"/>
          <w:szCs w:val="20"/>
        </w:rPr>
        <w:t>Teacher/Parent Communication</w:t>
      </w:r>
    </w:p>
    <w:p w:rsidR="005D35AC" w:rsidRPr="002200F4" w:rsidRDefault="005D35AC" w:rsidP="005D35AC">
      <w:pPr>
        <w:ind w:left="1440" w:hanging="1440"/>
        <w:jc w:val="both"/>
        <w:rPr>
          <w:sz w:val="20"/>
          <w:szCs w:val="20"/>
        </w:rPr>
      </w:pPr>
    </w:p>
    <w:p w:rsidR="005D35AC" w:rsidRPr="002200F4" w:rsidRDefault="005D35AC" w:rsidP="005D35AC">
      <w:pPr>
        <w:rPr>
          <w:sz w:val="20"/>
          <w:szCs w:val="20"/>
        </w:rPr>
      </w:pPr>
      <w:r w:rsidRPr="002200F4">
        <w:rPr>
          <w:sz w:val="20"/>
          <w:szCs w:val="20"/>
        </w:rPr>
        <w:t>An open line of communication is encouraged between teachers and parents. Email communication is likely to receive the fastest response.  Conferences may be scheduled by contacting the teacher at (770)819-2414. Parental visits are encouraged; however, it is the policy of Lindley Sixth Grade Academy at the Barnes Center that all visitors must give 24 hour notice prior to visit and must report to the office before going to other parts of the building.  A “Visitors Pass” will be issued as evidence that this procedure has been followed.</w:t>
      </w:r>
    </w:p>
    <w:p w:rsidR="005D35AC" w:rsidRPr="002200F4" w:rsidRDefault="005D35AC" w:rsidP="005D35AC">
      <w:pPr>
        <w:ind w:left="2160" w:hanging="2160"/>
        <w:jc w:val="center"/>
        <w:rPr>
          <w:sz w:val="20"/>
          <w:szCs w:val="20"/>
        </w:rPr>
      </w:pPr>
    </w:p>
    <w:p w:rsidR="005D35AC" w:rsidRPr="002200F4" w:rsidRDefault="005D35AC" w:rsidP="005D35AC">
      <w:pPr>
        <w:jc w:val="center"/>
        <w:rPr>
          <w:sz w:val="20"/>
          <w:szCs w:val="20"/>
        </w:rPr>
      </w:pPr>
    </w:p>
    <w:p w:rsidR="005D35AC" w:rsidRPr="002200F4" w:rsidRDefault="005D35AC" w:rsidP="005D35AC">
      <w:pPr>
        <w:jc w:val="center"/>
        <w:rPr>
          <w:sz w:val="20"/>
          <w:szCs w:val="20"/>
        </w:rPr>
      </w:pPr>
      <w:r w:rsidRPr="00AA6270">
        <w:rPr>
          <w:sz w:val="20"/>
          <w:szCs w:val="20"/>
          <w:highlight w:val="yellow"/>
        </w:rPr>
        <w:t>Absence/Make-Up Procedure</w:t>
      </w:r>
    </w:p>
    <w:p w:rsidR="005D35AC" w:rsidRPr="002200F4" w:rsidRDefault="005D35AC" w:rsidP="005D35AC">
      <w:pPr>
        <w:rPr>
          <w:sz w:val="20"/>
          <w:szCs w:val="20"/>
        </w:rPr>
      </w:pPr>
    </w:p>
    <w:p w:rsidR="005D35AC" w:rsidRPr="002200F4" w:rsidRDefault="005D35AC" w:rsidP="005D35AC">
      <w:pPr>
        <w:rPr>
          <w:sz w:val="20"/>
          <w:szCs w:val="20"/>
        </w:rPr>
      </w:pPr>
      <w:r w:rsidRPr="00AA6270">
        <w:rPr>
          <w:sz w:val="20"/>
          <w:szCs w:val="20"/>
          <w:highlight w:val="yellow"/>
        </w:rPr>
        <w:t>Each student is responsible for obtaining and completing missed assignments without student/teacher interaction.  Students will have the number of days absent plus one day to make up work following an absence.</w:t>
      </w:r>
      <w:r w:rsidRPr="002200F4">
        <w:rPr>
          <w:sz w:val="20"/>
          <w:szCs w:val="20"/>
        </w:rPr>
        <w:t xml:space="preserve">  </w:t>
      </w:r>
    </w:p>
    <w:p w:rsidR="005D35AC" w:rsidRPr="002200F4" w:rsidRDefault="005D35AC" w:rsidP="005D35AC">
      <w:pPr>
        <w:pStyle w:val="Heading5"/>
        <w:ind w:left="0" w:firstLine="0"/>
        <w:jc w:val="left"/>
        <w:rPr>
          <w:b w:val="0"/>
          <w:sz w:val="20"/>
          <w:szCs w:val="20"/>
        </w:rPr>
      </w:pPr>
    </w:p>
    <w:p w:rsidR="005D35AC" w:rsidRPr="00DA7283" w:rsidRDefault="005D35AC" w:rsidP="005D35AC">
      <w:pPr>
        <w:pStyle w:val="Heading5"/>
        <w:ind w:left="0" w:firstLine="0"/>
        <w:jc w:val="left"/>
        <w:rPr>
          <w:b w:val="0"/>
          <w:sz w:val="20"/>
          <w:szCs w:val="20"/>
        </w:rPr>
      </w:pPr>
      <w:r w:rsidRPr="002200F4">
        <w:rPr>
          <w:b w:val="0"/>
          <w:sz w:val="20"/>
          <w:szCs w:val="20"/>
        </w:rPr>
        <w:t>When a student is suspended from school, each teacher on the team will prepare sufficient assignments for the student for the duration of his/her suspension.  The team will have twenty four hours from the day that the suspension was assigned to have the work in the main office for pick up.</w:t>
      </w:r>
    </w:p>
    <w:p w:rsidR="005D35AC" w:rsidRPr="002200F4" w:rsidRDefault="005D35AC" w:rsidP="005D35AC">
      <w:pPr>
        <w:ind w:left="2160" w:hanging="2160"/>
        <w:jc w:val="both"/>
        <w:rPr>
          <w:sz w:val="20"/>
          <w:szCs w:val="20"/>
        </w:rPr>
      </w:pPr>
    </w:p>
    <w:p w:rsidR="005D35AC" w:rsidRPr="002200F4" w:rsidRDefault="005D35AC" w:rsidP="005D35AC">
      <w:pPr>
        <w:ind w:left="1440" w:hanging="1440"/>
        <w:jc w:val="center"/>
        <w:rPr>
          <w:sz w:val="20"/>
          <w:szCs w:val="20"/>
        </w:rPr>
      </w:pPr>
      <w:r w:rsidRPr="002200F4">
        <w:rPr>
          <w:sz w:val="20"/>
          <w:szCs w:val="20"/>
        </w:rPr>
        <w:t>Recovery</w:t>
      </w:r>
    </w:p>
    <w:p w:rsidR="005D35AC" w:rsidRPr="002200F4" w:rsidRDefault="005D35AC" w:rsidP="005D35AC">
      <w:pPr>
        <w:ind w:left="1440" w:hanging="1440"/>
        <w:jc w:val="both"/>
        <w:rPr>
          <w:sz w:val="20"/>
          <w:szCs w:val="20"/>
        </w:rPr>
      </w:pPr>
    </w:p>
    <w:p w:rsidR="005D35AC" w:rsidRPr="002200F4" w:rsidRDefault="005D35AC" w:rsidP="005D35AC">
      <w:pPr>
        <w:rPr>
          <w:sz w:val="20"/>
          <w:szCs w:val="20"/>
        </w:rPr>
      </w:pPr>
      <w:r w:rsidRPr="002200F4">
        <w:rPr>
          <w:sz w:val="20"/>
          <w:szCs w:val="20"/>
        </w:rPr>
        <w:t>Opportunities designed to allow students to recover from a low or failing cumulative grade will be allowed when all work required to date has been completed and the student has demonstrated a legitimate effort to meet all course requirements including attendance.  Teachers will determine when and how students with extenuating circumstances may improve their grades.  All recovery work is due one week before the end of the quarter.</w:t>
      </w:r>
    </w:p>
    <w:p w:rsidR="005D35AC" w:rsidRPr="002200F4" w:rsidRDefault="005D35AC" w:rsidP="005D35AC">
      <w:pPr>
        <w:jc w:val="both"/>
        <w:rPr>
          <w:sz w:val="20"/>
          <w:szCs w:val="20"/>
        </w:rPr>
      </w:pPr>
    </w:p>
    <w:p w:rsidR="005D35AC" w:rsidRPr="00DA7283" w:rsidRDefault="005D35AC" w:rsidP="005D35AC">
      <w:pPr>
        <w:pStyle w:val="Heading3"/>
        <w:jc w:val="center"/>
        <w:rPr>
          <w:b w:val="0"/>
          <w:sz w:val="20"/>
          <w:szCs w:val="20"/>
        </w:rPr>
      </w:pPr>
    </w:p>
    <w:p w:rsidR="005D35AC" w:rsidRPr="00DA7283" w:rsidRDefault="005D35AC" w:rsidP="005D35AC">
      <w:pPr>
        <w:pStyle w:val="BodyTextIndent3"/>
        <w:ind w:left="0" w:firstLine="0"/>
        <w:jc w:val="center"/>
        <w:rPr>
          <w:szCs w:val="20"/>
        </w:rPr>
      </w:pPr>
      <w:r w:rsidRPr="00DA7283">
        <w:rPr>
          <w:szCs w:val="20"/>
        </w:rPr>
        <w:t>Advanced Content</w:t>
      </w:r>
    </w:p>
    <w:p w:rsidR="005D35AC" w:rsidRPr="00DA7283" w:rsidRDefault="005D35AC" w:rsidP="005D35AC">
      <w:pPr>
        <w:pStyle w:val="NormalWeb"/>
        <w:rPr>
          <w:sz w:val="20"/>
          <w:szCs w:val="20"/>
        </w:rPr>
      </w:pPr>
      <w:r w:rsidRPr="00DA7283">
        <w:rPr>
          <w:sz w:val="20"/>
          <w:szCs w:val="20"/>
        </w:rPr>
        <w:t>The curriculum and instructional strategies for this course are differentiated in content, pacing, process skills emphasis, and expectation of student outcomes from the typical grade level course.  Curriculum content has been designed for mastery and extension of state and district content standards.  This course is appropriate for students who have high achievemen</w:t>
      </w:r>
      <w:r>
        <w:rPr>
          <w:sz w:val="20"/>
          <w:szCs w:val="20"/>
        </w:rPr>
        <w:t>t and interest in Mathematics</w:t>
      </w:r>
      <w:r w:rsidRPr="00DA7283">
        <w:rPr>
          <w:sz w:val="20"/>
          <w:szCs w:val="20"/>
        </w:rPr>
        <w:t xml:space="preserve">.  The district has established criteria and guidelines that identify students who will be successful with the advanced curriculum offered in </w:t>
      </w:r>
      <w:r>
        <w:rPr>
          <w:sz w:val="20"/>
          <w:szCs w:val="20"/>
        </w:rPr>
        <w:t>Mathematics.</w:t>
      </w:r>
      <w:r w:rsidRPr="00DA7283">
        <w:rPr>
          <w:sz w:val="20"/>
          <w:szCs w:val="20"/>
        </w:rPr>
        <w:t>  Students are placed in this class according to specified indicators of demonstrated exceptional ability and motivation.  Students must meet continuation criteria to remain in the class. </w:t>
      </w:r>
    </w:p>
    <w:p w:rsidR="005D35AC" w:rsidRDefault="005D35AC" w:rsidP="005D35AC">
      <w:pPr>
        <w:pStyle w:val="NormalWeb"/>
        <w:rPr>
          <w:b/>
          <w:sz w:val="20"/>
          <w:szCs w:val="20"/>
        </w:rPr>
      </w:pPr>
      <w:r w:rsidRPr="00DA7283">
        <w:rPr>
          <w:sz w:val="20"/>
          <w:szCs w:val="20"/>
        </w:rPr>
        <w:t>In order to remain in any Advanced Content class</w:t>
      </w:r>
      <w:r w:rsidRPr="00DA7283">
        <w:rPr>
          <w:b/>
          <w:bCs/>
          <w:sz w:val="20"/>
          <w:szCs w:val="20"/>
        </w:rPr>
        <w:t>, Identified Gifted</w:t>
      </w:r>
      <w:r w:rsidRPr="00DA7283">
        <w:rPr>
          <w:sz w:val="20"/>
          <w:szCs w:val="20"/>
        </w:rPr>
        <w:t xml:space="preserve"> students must maintain a minimum of an 80 at the end of the 9 weeks. If the average is below an 80 at the end of a grading period, the student will be placed on probation.  This probation continues for the remainder of the school year.  If the grade drops below an 80 for a second time, the student will be removed from the class for one semester and must apply for re-entry. </w:t>
      </w:r>
    </w:p>
    <w:p w:rsidR="005D35AC" w:rsidRDefault="005D35AC" w:rsidP="005D35AC">
      <w:pPr>
        <w:pStyle w:val="Heading3"/>
        <w:jc w:val="center"/>
        <w:rPr>
          <w:b w:val="0"/>
          <w:sz w:val="20"/>
          <w:szCs w:val="20"/>
        </w:rPr>
      </w:pPr>
    </w:p>
    <w:p w:rsidR="005D35AC" w:rsidRPr="002200F4" w:rsidRDefault="005D35AC" w:rsidP="005D35AC">
      <w:pPr>
        <w:pStyle w:val="Heading3"/>
        <w:jc w:val="center"/>
        <w:rPr>
          <w:b w:val="0"/>
          <w:sz w:val="20"/>
          <w:szCs w:val="20"/>
        </w:rPr>
      </w:pPr>
      <w:r w:rsidRPr="002200F4">
        <w:rPr>
          <w:b w:val="0"/>
          <w:sz w:val="20"/>
          <w:szCs w:val="20"/>
        </w:rPr>
        <w:t>Discipline</w:t>
      </w:r>
    </w:p>
    <w:p w:rsidR="005D35AC" w:rsidRPr="002200F4" w:rsidRDefault="005D35AC" w:rsidP="005D35AC">
      <w:pPr>
        <w:pStyle w:val="Heading3"/>
        <w:rPr>
          <w:b w:val="0"/>
          <w:sz w:val="20"/>
          <w:szCs w:val="20"/>
        </w:rPr>
      </w:pPr>
    </w:p>
    <w:p w:rsidR="005D35AC" w:rsidRPr="002200F4" w:rsidRDefault="005D35AC" w:rsidP="005D35AC">
      <w:pPr>
        <w:pStyle w:val="Heading3"/>
        <w:jc w:val="left"/>
        <w:rPr>
          <w:b w:val="0"/>
          <w:sz w:val="20"/>
          <w:szCs w:val="20"/>
        </w:rPr>
      </w:pPr>
      <w:r w:rsidRPr="002200F4">
        <w:rPr>
          <w:b w:val="0"/>
          <w:sz w:val="20"/>
          <w:szCs w:val="20"/>
        </w:rPr>
        <w:t>Students in this class are expected to adhere to the rules and policies of Lindley Sixth Grade Academy at the Barnes Center and Cobb County as stated in the student agenda.</w:t>
      </w:r>
    </w:p>
    <w:p w:rsidR="005D35AC" w:rsidRPr="002200F4" w:rsidRDefault="005D35AC" w:rsidP="005D35AC">
      <w:pPr>
        <w:rPr>
          <w:sz w:val="20"/>
          <w:szCs w:val="20"/>
        </w:rPr>
      </w:pPr>
    </w:p>
    <w:p w:rsidR="005D35AC" w:rsidRPr="00E217DD" w:rsidRDefault="005D35AC" w:rsidP="005D35AC">
      <w:pPr>
        <w:pStyle w:val="Heading8"/>
        <w:rPr>
          <w:b w:val="0"/>
          <w:i w:val="0"/>
          <w:szCs w:val="20"/>
        </w:rPr>
      </w:pPr>
      <w:r w:rsidRPr="002200F4">
        <w:rPr>
          <w:b w:val="0"/>
          <w:i w:val="0"/>
          <w:szCs w:val="20"/>
        </w:rPr>
        <w:t>This syllabus is a general outline of the course and is subject to modification.</w:t>
      </w:r>
    </w:p>
    <w:p w:rsidR="005D35AC" w:rsidRPr="002E3951" w:rsidRDefault="005D35AC" w:rsidP="005D35AC">
      <w:pPr>
        <w:jc w:val="center"/>
      </w:pPr>
      <w:r w:rsidRPr="002E3951">
        <w:br w:type="page"/>
        <w:t>Signature Sheet</w:t>
      </w:r>
    </w:p>
    <w:p w:rsidR="005D35AC" w:rsidRPr="002E3951" w:rsidRDefault="005D35AC" w:rsidP="005D35AC">
      <w:pPr>
        <w:jc w:val="center"/>
      </w:pPr>
    </w:p>
    <w:p w:rsidR="005D35AC" w:rsidRPr="002E3951" w:rsidRDefault="005D35AC" w:rsidP="005D35AC">
      <w:pPr>
        <w:pStyle w:val="BodyText3"/>
        <w:rPr>
          <w:b w:val="0"/>
          <w:sz w:val="24"/>
        </w:rPr>
      </w:pPr>
      <w:r w:rsidRPr="002E3951">
        <w:rPr>
          <w:b w:val="0"/>
          <w:sz w:val="24"/>
        </w:rPr>
        <w:t xml:space="preserve">Each student has been provided with a copy of this syllabus.  The syllabus should be signed by a parent/guardian, shown to the teacher for verification, and retained in the student’s notebook.  By signing this syllabus, I am agreeing that I understand the requirements for this class. </w:t>
      </w:r>
    </w:p>
    <w:p w:rsidR="005D35AC" w:rsidRPr="002E3951" w:rsidRDefault="005D35AC" w:rsidP="005D35AC">
      <w:pPr>
        <w:pStyle w:val="BodyText3"/>
        <w:rPr>
          <w:b w:val="0"/>
          <w:sz w:val="24"/>
        </w:rPr>
      </w:pPr>
    </w:p>
    <w:p w:rsidR="005D35AC" w:rsidRPr="002E3951" w:rsidRDefault="005D35AC" w:rsidP="005D35AC"/>
    <w:p w:rsidR="005D35AC" w:rsidRPr="002E3951" w:rsidRDefault="005D35AC" w:rsidP="005D35AC">
      <w:pPr>
        <w:ind w:firstLine="720"/>
      </w:pPr>
      <w:r w:rsidRPr="002E3951">
        <w:t xml:space="preserve">__________________________________________        </w:t>
      </w:r>
      <w:r w:rsidRPr="002E3951">
        <w:tab/>
        <w:t xml:space="preserve"> </w:t>
      </w:r>
      <w:r w:rsidRPr="002E3951">
        <w:tab/>
        <w:t>__________________</w:t>
      </w:r>
      <w:r w:rsidRPr="002E3951">
        <w:tab/>
      </w:r>
    </w:p>
    <w:p w:rsidR="005D35AC" w:rsidRPr="002E3951" w:rsidRDefault="005D35AC" w:rsidP="005D35AC">
      <w:r w:rsidRPr="002E3951">
        <w:tab/>
        <w:t>Parent/Guardian Signature</w:t>
      </w:r>
      <w:r w:rsidRPr="002E3951">
        <w:tab/>
      </w:r>
      <w:r w:rsidRPr="002E3951">
        <w:tab/>
      </w:r>
      <w:r w:rsidRPr="002E3951">
        <w:tab/>
      </w:r>
      <w:r w:rsidRPr="002E3951">
        <w:tab/>
        <w:t xml:space="preserve">     </w:t>
      </w:r>
      <w:r w:rsidRPr="002E3951">
        <w:tab/>
      </w:r>
      <w:r w:rsidRPr="002E3951">
        <w:tab/>
      </w:r>
      <w:r w:rsidRPr="002E3951">
        <w:tab/>
        <w:t>Date</w:t>
      </w:r>
    </w:p>
    <w:p w:rsidR="005D35AC" w:rsidRPr="002E3951" w:rsidRDefault="005D35AC" w:rsidP="005D35AC"/>
    <w:p w:rsidR="005D35AC" w:rsidRPr="002E3951" w:rsidRDefault="005D35AC" w:rsidP="005D35AC">
      <w:r w:rsidRPr="002E3951">
        <w:tab/>
      </w:r>
    </w:p>
    <w:p w:rsidR="005D35AC" w:rsidRPr="002E3951" w:rsidRDefault="005D35AC" w:rsidP="005D35AC">
      <w:pPr>
        <w:ind w:firstLine="720"/>
      </w:pPr>
      <w:r w:rsidRPr="002E3951">
        <w:t>__________________________________</w:t>
      </w:r>
    </w:p>
    <w:p w:rsidR="005D35AC" w:rsidRPr="002E3951" w:rsidRDefault="005D35AC" w:rsidP="005D35AC">
      <w:r w:rsidRPr="002E3951">
        <w:tab/>
        <w:t>Parent email address</w:t>
      </w:r>
    </w:p>
    <w:p w:rsidR="005D35AC" w:rsidRPr="002E3951" w:rsidRDefault="005D35AC" w:rsidP="005D35AC"/>
    <w:p w:rsidR="005D35AC" w:rsidRPr="002E3951" w:rsidRDefault="005D35AC" w:rsidP="005D35AC">
      <w:pPr>
        <w:ind w:firstLine="720"/>
      </w:pPr>
    </w:p>
    <w:p w:rsidR="005D35AC" w:rsidRPr="002E3951" w:rsidRDefault="005D35AC" w:rsidP="005D35AC">
      <w:pPr>
        <w:ind w:firstLine="720"/>
      </w:pPr>
      <w:r w:rsidRPr="002E3951">
        <w:t>__________________________________________</w:t>
      </w:r>
      <w:r w:rsidRPr="002E3951">
        <w:tab/>
      </w:r>
      <w:r w:rsidRPr="002E3951">
        <w:tab/>
        <w:t>_________________</w:t>
      </w:r>
    </w:p>
    <w:p w:rsidR="005D35AC" w:rsidRPr="002E3951" w:rsidRDefault="005D35AC" w:rsidP="005D35AC">
      <w:r w:rsidRPr="002E3951">
        <w:tab/>
        <w:t>Student Signature</w:t>
      </w:r>
      <w:r w:rsidRPr="002E3951">
        <w:tab/>
      </w:r>
      <w:r w:rsidRPr="002E3951">
        <w:tab/>
      </w:r>
      <w:r w:rsidRPr="002E3951">
        <w:tab/>
      </w:r>
      <w:r w:rsidRPr="002E3951">
        <w:tab/>
      </w:r>
      <w:r w:rsidRPr="002E3951">
        <w:tab/>
      </w:r>
      <w:r w:rsidRPr="002E3951">
        <w:tab/>
      </w:r>
      <w:r w:rsidRPr="002E3951">
        <w:tab/>
      </w:r>
      <w:r w:rsidRPr="002E3951">
        <w:tab/>
        <w:t>Date</w:t>
      </w:r>
    </w:p>
    <w:p w:rsidR="005D35AC" w:rsidRPr="002E3951" w:rsidRDefault="005D35AC" w:rsidP="005D35AC">
      <w:pPr>
        <w:rPr>
          <w:b/>
        </w:rPr>
      </w:pPr>
    </w:p>
    <w:p w:rsidR="00684F8C" w:rsidRDefault="00684F8C"/>
    <w:sectPr w:rsidR="00684F8C" w:rsidSect="005D35AC">
      <w:pgSz w:w="12240" w:h="15840"/>
      <w:pgMar w:top="1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886989"/>
    <w:multiLevelType w:val="hybridMultilevel"/>
    <w:tmpl w:val="10EEB5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AC"/>
    <w:rsid w:val="001E4020"/>
    <w:rsid w:val="001F59CE"/>
    <w:rsid w:val="0039033A"/>
    <w:rsid w:val="00531D3F"/>
    <w:rsid w:val="005D35AC"/>
    <w:rsid w:val="00684F8C"/>
    <w:rsid w:val="006B6032"/>
    <w:rsid w:val="006D6A9C"/>
    <w:rsid w:val="009E2E5B"/>
    <w:rsid w:val="00B530C8"/>
    <w:rsid w:val="00C21B44"/>
    <w:rsid w:val="00ED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209B5-2C9B-48F6-B32B-3813F874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5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35AC"/>
    <w:pPr>
      <w:keepNext/>
      <w:jc w:val="center"/>
      <w:outlineLvl w:val="0"/>
    </w:pPr>
    <w:rPr>
      <w:b/>
      <w:bCs/>
      <w:i/>
      <w:iCs/>
      <w:sz w:val="28"/>
    </w:rPr>
  </w:style>
  <w:style w:type="paragraph" w:styleId="Heading2">
    <w:name w:val="heading 2"/>
    <w:basedOn w:val="Normal"/>
    <w:next w:val="Normal"/>
    <w:link w:val="Heading2Char"/>
    <w:qFormat/>
    <w:rsid w:val="005D35AC"/>
    <w:pPr>
      <w:keepNext/>
      <w:outlineLvl w:val="1"/>
    </w:pPr>
    <w:rPr>
      <w:b/>
      <w:bCs/>
    </w:rPr>
  </w:style>
  <w:style w:type="paragraph" w:styleId="Heading3">
    <w:name w:val="heading 3"/>
    <w:basedOn w:val="Normal"/>
    <w:next w:val="Normal"/>
    <w:link w:val="Heading3Char"/>
    <w:qFormat/>
    <w:rsid w:val="005D35AC"/>
    <w:pPr>
      <w:keepNext/>
      <w:jc w:val="both"/>
      <w:outlineLvl w:val="2"/>
    </w:pPr>
    <w:rPr>
      <w:b/>
      <w:bCs/>
    </w:rPr>
  </w:style>
  <w:style w:type="paragraph" w:styleId="Heading5">
    <w:name w:val="heading 5"/>
    <w:basedOn w:val="Normal"/>
    <w:next w:val="Normal"/>
    <w:link w:val="Heading5Char"/>
    <w:qFormat/>
    <w:rsid w:val="005D35AC"/>
    <w:pPr>
      <w:keepNext/>
      <w:ind w:left="2160" w:hanging="2160"/>
      <w:jc w:val="both"/>
      <w:outlineLvl w:val="4"/>
    </w:pPr>
    <w:rPr>
      <w:b/>
      <w:bCs/>
    </w:rPr>
  </w:style>
  <w:style w:type="paragraph" w:styleId="Heading8">
    <w:name w:val="heading 8"/>
    <w:basedOn w:val="Normal"/>
    <w:next w:val="Normal"/>
    <w:link w:val="Heading8Char"/>
    <w:qFormat/>
    <w:rsid w:val="005D35AC"/>
    <w:pPr>
      <w:keepNext/>
      <w:jc w:val="center"/>
      <w:outlineLvl w:val="7"/>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35AC"/>
    <w:rPr>
      <w:rFonts w:ascii="Times New Roman" w:eastAsia="Times New Roman" w:hAnsi="Times New Roman" w:cs="Times New Roman"/>
      <w:b/>
      <w:bCs/>
      <w:i/>
      <w:iCs/>
      <w:sz w:val="28"/>
      <w:szCs w:val="24"/>
    </w:rPr>
  </w:style>
  <w:style w:type="character" w:customStyle="1" w:styleId="Heading2Char">
    <w:name w:val="Heading 2 Char"/>
    <w:basedOn w:val="DefaultParagraphFont"/>
    <w:link w:val="Heading2"/>
    <w:rsid w:val="005D35A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D35A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5D35AC"/>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rsid w:val="005D35AC"/>
    <w:rPr>
      <w:rFonts w:ascii="Times New Roman" w:eastAsia="Times New Roman" w:hAnsi="Times New Roman" w:cs="Times New Roman"/>
      <w:b/>
      <w:i/>
      <w:sz w:val="20"/>
      <w:szCs w:val="24"/>
    </w:rPr>
  </w:style>
  <w:style w:type="paragraph" w:styleId="Title">
    <w:name w:val="Title"/>
    <w:basedOn w:val="Normal"/>
    <w:link w:val="TitleChar"/>
    <w:qFormat/>
    <w:rsid w:val="005D35AC"/>
    <w:pPr>
      <w:jc w:val="center"/>
    </w:pPr>
    <w:rPr>
      <w:b/>
      <w:bCs/>
      <w:i/>
      <w:iCs/>
    </w:rPr>
  </w:style>
  <w:style w:type="character" w:customStyle="1" w:styleId="TitleChar">
    <w:name w:val="Title Char"/>
    <w:basedOn w:val="DefaultParagraphFont"/>
    <w:link w:val="Title"/>
    <w:rsid w:val="005D35AC"/>
    <w:rPr>
      <w:rFonts w:ascii="Times New Roman" w:eastAsia="Times New Roman" w:hAnsi="Times New Roman" w:cs="Times New Roman"/>
      <w:b/>
      <w:bCs/>
      <w:i/>
      <w:iCs/>
      <w:sz w:val="24"/>
      <w:szCs w:val="24"/>
    </w:rPr>
  </w:style>
  <w:style w:type="character" w:styleId="Hyperlink">
    <w:name w:val="Hyperlink"/>
    <w:rsid w:val="005D35AC"/>
    <w:rPr>
      <w:color w:val="0000FF"/>
      <w:u w:val="single"/>
    </w:rPr>
  </w:style>
  <w:style w:type="paragraph" w:styleId="BodyTextIndent3">
    <w:name w:val="Body Text Indent 3"/>
    <w:basedOn w:val="Normal"/>
    <w:link w:val="BodyTextIndent3Char"/>
    <w:rsid w:val="005D35AC"/>
    <w:pPr>
      <w:ind w:left="1440" w:hanging="1440"/>
    </w:pPr>
    <w:rPr>
      <w:sz w:val="20"/>
    </w:rPr>
  </w:style>
  <w:style w:type="character" w:customStyle="1" w:styleId="BodyTextIndent3Char">
    <w:name w:val="Body Text Indent 3 Char"/>
    <w:basedOn w:val="DefaultParagraphFont"/>
    <w:link w:val="BodyTextIndent3"/>
    <w:rsid w:val="005D35AC"/>
    <w:rPr>
      <w:rFonts w:ascii="Times New Roman" w:eastAsia="Times New Roman" w:hAnsi="Times New Roman" w:cs="Times New Roman"/>
      <w:sz w:val="20"/>
      <w:szCs w:val="24"/>
    </w:rPr>
  </w:style>
  <w:style w:type="paragraph" w:styleId="BodyText">
    <w:name w:val="Body Text"/>
    <w:basedOn w:val="Normal"/>
    <w:link w:val="BodyTextChar"/>
    <w:rsid w:val="005D35AC"/>
    <w:rPr>
      <w:sz w:val="20"/>
    </w:rPr>
  </w:style>
  <w:style w:type="character" w:customStyle="1" w:styleId="BodyTextChar">
    <w:name w:val="Body Text Char"/>
    <w:basedOn w:val="DefaultParagraphFont"/>
    <w:link w:val="BodyText"/>
    <w:rsid w:val="005D35AC"/>
    <w:rPr>
      <w:rFonts w:ascii="Times New Roman" w:eastAsia="Times New Roman" w:hAnsi="Times New Roman" w:cs="Times New Roman"/>
      <w:sz w:val="20"/>
      <w:szCs w:val="24"/>
    </w:rPr>
  </w:style>
  <w:style w:type="paragraph" w:styleId="BodyText3">
    <w:name w:val="Body Text 3"/>
    <w:basedOn w:val="Normal"/>
    <w:link w:val="BodyText3Char"/>
    <w:rsid w:val="005D35AC"/>
    <w:rPr>
      <w:b/>
      <w:sz w:val="20"/>
    </w:rPr>
  </w:style>
  <w:style w:type="character" w:customStyle="1" w:styleId="BodyText3Char">
    <w:name w:val="Body Text 3 Char"/>
    <w:basedOn w:val="DefaultParagraphFont"/>
    <w:link w:val="BodyText3"/>
    <w:rsid w:val="005D35AC"/>
    <w:rPr>
      <w:rFonts w:ascii="Times New Roman" w:eastAsia="Times New Roman" w:hAnsi="Times New Roman" w:cs="Times New Roman"/>
      <w:b/>
      <w:sz w:val="20"/>
      <w:szCs w:val="24"/>
    </w:rPr>
  </w:style>
  <w:style w:type="paragraph" w:customStyle="1" w:styleId="AHeading-afterbody">
    <w:name w:val="A_Heading-afterbody"/>
    <w:rsid w:val="005D35AC"/>
    <w:pPr>
      <w:widowControl w:val="0"/>
      <w:overflowPunct w:val="0"/>
      <w:autoSpaceDE w:val="0"/>
      <w:autoSpaceDN w:val="0"/>
      <w:adjustRightInd w:val="0"/>
      <w:spacing w:before="120" w:after="120" w:line="240" w:lineRule="auto"/>
      <w:jc w:val="center"/>
    </w:pPr>
    <w:rPr>
      <w:rFonts w:ascii="Helvetica" w:eastAsia="Times New Roman" w:hAnsi="Helvetica" w:cs="Helvetica"/>
      <w:b/>
      <w:bCs/>
      <w:caps/>
      <w:color w:val="000000"/>
      <w:kern w:val="28"/>
      <w:sz w:val="24"/>
      <w:szCs w:val="24"/>
    </w:rPr>
  </w:style>
  <w:style w:type="paragraph" w:styleId="NormalWeb">
    <w:name w:val="Normal (Web)"/>
    <w:basedOn w:val="Normal"/>
    <w:uiPriority w:val="99"/>
    <w:unhideWhenUsed/>
    <w:rsid w:val="005D35AC"/>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vid.Stickle@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Stickle</dc:creator>
  <cp:lastModifiedBy>Dave Stickle</cp:lastModifiedBy>
  <cp:revision>2</cp:revision>
  <dcterms:created xsi:type="dcterms:W3CDTF">2018-08-02T00:24:00Z</dcterms:created>
  <dcterms:modified xsi:type="dcterms:W3CDTF">2018-08-02T00:24:00Z</dcterms:modified>
</cp:coreProperties>
</file>