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97" w:rsidRPr="0006342C" w:rsidRDefault="00282B9D" w:rsidP="001D0D97">
      <w:pPr>
        <w:pStyle w:val="Title"/>
        <w:rPr>
          <w:rFonts w:asciiTheme="minorHAnsi" w:hAnsiTheme="minorHAnsi"/>
          <w:sz w:val="28"/>
          <w:szCs w:val="28"/>
        </w:rPr>
      </w:pPr>
      <w:bookmarkStart w:id="0" w:name="_GoBack"/>
      <w:bookmarkEnd w:id="0"/>
      <w:r>
        <w:rPr>
          <w:noProof/>
        </w:rPr>
        <w:drawing>
          <wp:anchor distT="0" distB="0" distL="114300" distR="114300" simplePos="0" relativeHeight="251658240" behindDoc="0" locked="0" layoutInCell="1" allowOverlap="1" wp14:anchorId="3BD38CCC" wp14:editId="3DCD4B3F">
            <wp:simplePos x="0" y="0"/>
            <wp:positionH relativeFrom="column">
              <wp:posOffset>5553075</wp:posOffset>
            </wp:positionH>
            <wp:positionV relativeFrom="paragraph">
              <wp:posOffset>142875</wp:posOffset>
            </wp:positionV>
            <wp:extent cx="409575" cy="371475"/>
            <wp:effectExtent l="0" t="0" r="9525" b="952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575" cy="371475"/>
                    </a:xfrm>
                    <a:prstGeom prst="rect">
                      <a:avLst/>
                    </a:prstGeom>
                  </pic:spPr>
                </pic:pic>
              </a:graphicData>
            </a:graphic>
            <wp14:sizeRelH relativeFrom="page">
              <wp14:pctWidth>0</wp14:pctWidth>
            </wp14:sizeRelH>
            <wp14:sizeRelV relativeFrom="page">
              <wp14:pctHeight>0</wp14:pctHeight>
            </wp14:sizeRelV>
          </wp:anchor>
        </w:drawing>
      </w:r>
      <w:r w:rsidR="001D0D97" w:rsidRPr="0006342C">
        <w:rPr>
          <w:rFonts w:asciiTheme="minorHAnsi" w:hAnsiTheme="minorHAnsi"/>
          <w:sz w:val="28"/>
          <w:szCs w:val="28"/>
        </w:rPr>
        <w:t>“Student-Friendly” Standards</w:t>
      </w:r>
      <w:r w:rsidR="00156327" w:rsidRPr="0006342C">
        <w:rPr>
          <w:rFonts w:asciiTheme="minorHAnsi" w:hAnsiTheme="minorHAnsi"/>
          <w:sz w:val="28"/>
          <w:szCs w:val="28"/>
        </w:rPr>
        <w:t xml:space="preserve"> for </w:t>
      </w:r>
      <w:r w:rsidR="0000460F" w:rsidRPr="0006342C">
        <w:rPr>
          <w:rFonts w:asciiTheme="minorHAnsi" w:hAnsiTheme="minorHAnsi"/>
          <w:sz w:val="28"/>
          <w:szCs w:val="28"/>
        </w:rPr>
        <w:t>6</w:t>
      </w:r>
      <w:r w:rsidR="0000460F" w:rsidRPr="0006342C">
        <w:rPr>
          <w:rFonts w:asciiTheme="minorHAnsi" w:hAnsiTheme="minorHAnsi"/>
          <w:sz w:val="28"/>
          <w:szCs w:val="28"/>
          <w:vertAlign w:val="superscript"/>
        </w:rPr>
        <w:t>th</w:t>
      </w:r>
      <w:r w:rsidR="0000460F" w:rsidRPr="0006342C">
        <w:rPr>
          <w:rFonts w:asciiTheme="minorHAnsi" w:hAnsiTheme="minorHAnsi"/>
          <w:sz w:val="28"/>
          <w:szCs w:val="28"/>
        </w:rPr>
        <w:t xml:space="preserve"> Grade Mathematics</w:t>
      </w:r>
    </w:p>
    <w:p w:rsidR="001D0D97" w:rsidRPr="0006342C" w:rsidRDefault="001D0D97" w:rsidP="001D0D97">
      <w:pPr>
        <w:pStyle w:val="Title"/>
        <w:rPr>
          <w:rFonts w:asciiTheme="minorHAnsi" w:hAnsiTheme="minorHAnsi"/>
        </w:rPr>
      </w:pPr>
      <w:r w:rsidRPr="0006342C">
        <w:rPr>
          <w:rFonts w:asciiTheme="minorHAnsi" w:hAnsiTheme="minorHAnsi"/>
        </w:rPr>
        <w:t xml:space="preserve">Unit </w:t>
      </w:r>
      <w:r w:rsidR="002E1F24" w:rsidRPr="0006342C">
        <w:rPr>
          <w:rFonts w:asciiTheme="minorHAnsi" w:hAnsiTheme="minorHAnsi"/>
        </w:rPr>
        <w:t>6</w:t>
      </w:r>
      <w:r w:rsidR="00B37A54" w:rsidRPr="0006342C">
        <w:rPr>
          <w:rFonts w:asciiTheme="minorHAnsi" w:hAnsiTheme="minorHAnsi"/>
        </w:rPr>
        <w:t xml:space="preserve"> </w:t>
      </w:r>
      <w:r w:rsidR="002E1F24" w:rsidRPr="0006342C">
        <w:rPr>
          <w:rFonts w:asciiTheme="minorHAnsi" w:hAnsiTheme="minorHAnsi"/>
        </w:rPr>
        <w:t>Statistics</w:t>
      </w:r>
    </w:p>
    <w:tbl>
      <w:tblPr>
        <w:tblStyle w:val="TableGrid"/>
        <w:tblW w:w="9990" w:type="dxa"/>
        <w:tblInd w:w="-522" w:type="dxa"/>
        <w:tblLook w:val="04A0" w:firstRow="1" w:lastRow="0" w:firstColumn="1" w:lastColumn="0" w:noHBand="0" w:noVBand="1"/>
      </w:tblPr>
      <w:tblGrid>
        <w:gridCol w:w="1170"/>
        <w:gridCol w:w="1260"/>
        <w:gridCol w:w="7560"/>
      </w:tblGrid>
      <w:tr w:rsidR="00156327" w:rsidRPr="00156327" w:rsidTr="0006342C">
        <w:tc>
          <w:tcPr>
            <w:tcW w:w="1170" w:type="dxa"/>
            <w:shd w:val="clear" w:color="auto" w:fill="BFBFBF" w:themeFill="background1" w:themeFillShade="BF"/>
            <w:vAlign w:val="bottom"/>
          </w:tcPr>
          <w:p w:rsidR="00A14A80" w:rsidRPr="0006342C" w:rsidRDefault="00A14A80" w:rsidP="00A14A80">
            <w:pPr>
              <w:jc w:val="center"/>
              <w:rPr>
                <w:rFonts w:asciiTheme="minorHAnsi" w:hAnsiTheme="minorHAnsi" w:cs="Times New Roman"/>
                <w:b/>
              </w:rPr>
            </w:pPr>
            <w:r w:rsidRPr="0006342C">
              <w:rPr>
                <w:rFonts w:asciiTheme="minorHAnsi" w:hAnsiTheme="minorHAnsi" w:cs="Times New Roman"/>
                <w:b/>
              </w:rPr>
              <w:t>Standard</w:t>
            </w:r>
          </w:p>
          <w:p w:rsidR="00156327" w:rsidRPr="0006342C" w:rsidRDefault="00156327" w:rsidP="00A14A80">
            <w:pPr>
              <w:jc w:val="center"/>
              <w:rPr>
                <w:rFonts w:asciiTheme="minorHAnsi" w:hAnsiTheme="minorHAnsi" w:cs="Times New Roman"/>
                <w:b/>
              </w:rPr>
            </w:pPr>
            <w:r w:rsidRPr="0006342C">
              <w:rPr>
                <w:rFonts w:asciiTheme="minorHAnsi" w:hAnsiTheme="minorHAnsi" w:cs="Times New Roman"/>
                <w:b/>
              </w:rPr>
              <w:t>Code</w:t>
            </w:r>
          </w:p>
        </w:tc>
        <w:tc>
          <w:tcPr>
            <w:tcW w:w="1260" w:type="dxa"/>
            <w:shd w:val="clear" w:color="auto" w:fill="BFBFBF" w:themeFill="background1" w:themeFillShade="BF"/>
            <w:vAlign w:val="bottom"/>
          </w:tcPr>
          <w:p w:rsidR="00156327" w:rsidRPr="0006342C" w:rsidRDefault="00A14A80" w:rsidP="00A14A80">
            <w:pPr>
              <w:jc w:val="center"/>
              <w:rPr>
                <w:rFonts w:asciiTheme="minorHAnsi" w:hAnsiTheme="minorHAnsi" w:cs="Times New Roman"/>
                <w:b/>
              </w:rPr>
            </w:pPr>
            <w:r w:rsidRPr="0006342C">
              <w:rPr>
                <w:rFonts w:asciiTheme="minorHAnsi" w:hAnsiTheme="minorHAnsi" w:cs="Times New Roman"/>
                <w:b/>
              </w:rPr>
              <w:t>Mastery</w:t>
            </w:r>
          </w:p>
          <w:p w:rsidR="00A14A80" w:rsidRPr="0006342C" w:rsidRDefault="00A14A80" w:rsidP="00A14A80">
            <w:pPr>
              <w:jc w:val="center"/>
              <w:rPr>
                <w:rFonts w:asciiTheme="minorHAnsi" w:hAnsiTheme="minorHAnsi" w:cs="Times New Roman"/>
                <w:b/>
              </w:rPr>
            </w:pPr>
            <w:r w:rsidRPr="0006342C">
              <w:rPr>
                <w:rFonts w:asciiTheme="minorHAnsi" w:hAnsiTheme="minorHAnsi" w:cs="Times New Roman"/>
                <w:b/>
              </w:rPr>
              <w:t>Level</w:t>
            </w:r>
          </w:p>
        </w:tc>
        <w:tc>
          <w:tcPr>
            <w:tcW w:w="7560" w:type="dxa"/>
            <w:shd w:val="clear" w:color="auto" w:fill="BFBFBF" w:themeFill="background1" w:themeFillShade="BF"/>
            <w:vAlign w:val="bottom"/>
          </w:tcPr>
          <w:p w:rsidR="00156327" w:rsidRPr="0006342C" w:rsidRDefault="00156327" w:rsidP="00A14A80">
            <w:pPr>
              <w:jc w:val="center"/>
              <w:rPr>
                <w:rFonts w:asciiTheme="minorHAnsi" w:hAnsiTheme="minorHAnsi" w:cs="Times New Roman"/>
                <w:b/>
              </w:rPr>
            </w:pPr>
            <w:r w:rsidRPr="0006342C">
              <w:rPr>
                <w:rFonts w:asciiTheme="minorHAnsi" w:hAnsiTheme="minorHAnsi" w:cs="Times New Roman"/>
                <w:b/>
              </w:rPr>
              <w:t>Standard</w:t>
            </w:r>
          </w:p>
        </w:tc>
      </w:tr>
      <w:tr w:rsidR="002E1F24" w:rsidRPr="00156327" w:rsidTr="0006342C">
        <w:trPr>
          <w:trHeight w:val="288"/>
        </w:trPr>
        <w:tc>
          <w:tcPr>
            <w:tcW w:w="1170" w:type="dxa"/>
            <w:vMerge w:val="restart"/>
          </w:tcPr>
          <w:p w:rsidR="002E1F24" w:rsidRPr="0006342C" w:rsidRDefault="002E1F24" w:rsidP="0000460F">
            <w:pPr>
              <w:spacing w:before="120" w:after="120"/>
              <w:rPr>
                <w:rFonts w:asciiTheme="minorHAnsi" w:hAnsiTheme="minorHAnsi" w:cs="Times New Roman"/>
                <w:b/>
              </w:rPr>
            </w:pPr>
            <w:r w:rsidRPr="0006342C">
              <w:rPr>
                <w:rFonts w:asciiTheme="minorHAnsi" w:hAnsiTheme="minorHAnsi" w:cs="Times New Roman"/>
                <w:b/>
              </w:rPr>
              <w:t xml:space="preserve">SP.1 </w:t>
            </w: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 xml:space="preserve">I can recognize that data has variability. </w:t>
            </w:r>
          </w:p>
        </w:tc>
      </w:tr>
      <w:tr w:rsidR="002E1F24" w:rsidRPr="00156327" w:rsidTr="0006342C">
        <w:trPr>
          <w:trHeight w:val="288"/>
        </w:trPr>
        <w:tc>
          <w:tcPr>
            <w:tcW w:w="1170" w:type="dxa"/>
            <w:vMerge/>
          </w:tcPr>
          <w:p w:rsidR="002E1F24" w:rsidRPr="0006342C" w:rsidRDefault="002E1F24" w:rsidP="00A14A80">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pStyle w:val="Default"/>
              <w:rPr>
                <w:rFonts w:asciiTheme="minorHAnsi" w:hAnsiTheme="minorHAnsi"/>
              </w:rPr>
            </w:pPr>
            <w:r w:rsidRPr="0006342C">
              <w:rPr>
                <w:rFonts w:asciiTheme="minorHAnsi" w:hAnsiTheme="minorHAnsi"/>
              </w:rPr>
              <w:t>I can recognize a statistical question (recognize examples versus non-examples).</w:t>
            </w:r>
          </w:p>
        </w:tc>
      </w:tr>
      <w:tr w:rsidR="002E1F24" w:rsidRPr="00156327" w:rsidTr="0006342C">
        <w:trPr>
          <w:trHeight w:val="288"/>
        </w:trPr>
        <w:tc>
          <w:tcPr>
            <w:tcW w:w="1170" w:type="dxa"/>
            <w:vMerge w:val="restart"/>
          </w:tcPr>
          <w:p w:rsidR="002E1F24" w:rsidRPr="0006342C" w:rsidRDefault="002E1F24" w:rsidP="0000460F">
            <w:pPr>
              <w:spacing w:before="120" w:after="120"/>
              <w:rPr>
                <w:rFonts w:asciiTheme="minorHAnsi" w:hAnsiTheme="minorHAnsi" w:cs="Times New Roman"/>
                <w:b/>
              </w:rPr>
            </w:pPr>
            <w:r w:rsidRPr="0006342C">
              <w:rPr>
                <w:rFonts w:asciiTheme="minorHAnsi" w:hAnsiTheme="minorHAnsi" w:cs="Times New Roman"/>
                <w:b/>
              </w:rPr>
              <w:t>SP.2</w:t>
            </w: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 xml:space="preserve">I can identify that a set of data has distribution. </w:t>
            </w:r>
          </w:p>
        </w:tc>
      </w:tr>
      <w:tr w:rsidR="002E1F24" w:rsidRPr="00156327" w:rsidTr="0006342C">
        <w:trPr>
          <w:trHeight w:val="288"/>
        </w:trPr>
        <w:tc>
          <w:tcPr>
            <w:tcW w:w="1170" w:type="dxa"/>
            <w:vMerge/>
          </w:tcPr>
          <w:p w:rsidR="002E1F24" w:rsidRPr="0006342C" w:rsidRDefault="002E1F24" w:rsidP="0000460F">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I can describe a set of data by its center (mean and median).</w:t>
            </w:r>
          </w:p>
        </w:tc>
      </w:tr>
      <w:tr w:rsidR="002E1F24" w:rsidRPr="00156327" w:rsidTr="0006342C">
        <w:trPr>
          <w:trHeight w:val="288"/>
        </w:trPr>
        <w:tc>
          <w:tcPr>
            <w:tcW w:w="1170" w:type="dxa"/>
            <w:vMerge/>
          </w:tcPr>
          <w:p w:rsidR="002E1F24" w:rsidRPr="0006342C" w:rsidRDefault="002E1F24" w:rsidP="0000460F">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I can describe a set of data by its spread and overall shape, such as by identifying data clusters, peaks, gaps and symmetry.</w:t>
            </w:r>
          </w:p>
        </w:tc>
      </w:tr>
      <w:tr w:rsidR="002E1F24" w:rsidRPr="00156327" w:rsidTr="0006342C">
        <w:trPr>
          <w:trHeight w:val="288"/>
        </w:trPr>
        <w:tc>
          <w:tcPr>
            <w:tcW w:w="1170" w:type="dxa"/>
            <w:vMerge w:val="restart"/>
          </w:tcPr>
          <w:p w:rsidR="002E1F24" w:rsidRPr="0006342C" w:rsidRDefault="002E1F24" w:rsidP="002E1F24">
            <w:pPr>
              <w:spacing w:before="120" w:after="120"/>
              <w:rPr>
                <w:rFonts w:asciiTheme="minorHAnsi" w:hAnsiTheme="minorHAnsi" w:cs="Times New Roman"/>
                <w:b/>
              </w:rPr>
            </w:pPr>
            <w:r w:rsidRPr="0006342C">
              <w:rPr>
                <w:rFonts w:asciiTheme="minorHAnsi" w:hAnsiTheme="minorHAnsi" w:cs="Times New Roman"/>
                <w:b/>
              </w:rPr>
              <w:t>SP.3</w:t>
            </w: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 xml:space="preserve">I can recognize there are measures of central tendency for a data set (mean, median, and mode). </w:t>
            </w:r>
          </w:p>
        </w:tc>
      </w:tr>
      <w:tr w:rsidR="002E1F24" w:rsidRPr="00156327" w:rsidTr="0006342C">
        <w:trPr>
          <w:trHeight w:val="288"/>
        </w:trPr>
        <w:tc>
          <w:tcPr>
            <w:tcW w:w="1170" w:type="dxa"/>
            <w:vMerge/>
          </w:tcPr>
          <w:p w:rsidR="002E1F24" w:rsidRPr="0006342C" w:rsidRDefault="002E1F24" w:rsidP="00B37A54">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I can recognize there are measures of variances for a data set (range, interquartile range, and mean absolute deviation).</w:t>
            </w:r>
          </w:p>
        </w:tc>
      </w:tr>
      <w:tr w:rsidR="002E1F24" w:rsidRPr="00156327" w:rsidTr="0006342C">
        <w:trPr>
          <w:trHeight w:val="288"/>
        </w:trPr>
        <w:tc>
          <w:tcPr>
            <w:tcW w:w="1170" w:type="dxa"/>
            <w:vMerge/>
          </w:tcPr>
          <w:p w:rsidR="002E1F24" w:rsidRPr="0006342C" w:rsidRDefault="002E1F24" w:rsidP="00B37A54">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I can recognize that measure of central tendency for a data set summarizes the data with a single number.</w:t>
            </w:r>
          </w:p>
        </w:tc>
      </w:tr>
      <w:tr w:rsidR="002E1F24" w:rsidRPr="00156327" w:rsidTr="0006342C">
        <w:trPr>
          <w:trHeight w:val="288"/>
        </w:trPr>
        <w:tc>
          <w:tcPr>
            <w:tcW w:w="1170" w:type="dxa"/>
            <w:vMerge/>
          </w:tcPr>
          <w:p w:rsidR="002E1F24" w:rsidRPr="0006342C" w:rsidRDefault="002E1F24" w:rsidP="00B37A54">
            <w:pPr>
              <w:spacing w:before="120" w:after="120"/>
              <w:rPr>
                <w:rFonts w:asciiTheme="minorHAnsi" w:hAnsiTheme="minorHAnsi" w:cs="Times New Roman"/>
                <w:b/>
              </w:rPr>
            </w:pPr>
          </w:p>
        </w:tc>
        <w:tc>
          <w:tcPr>
            <w:tcW w:w="1260" w:type="dxa"/>
          </w:tcPr>
          <w:p w:rsidR="002E1F24" w:rsidRPr="0006342C" w:rsidRDefault="002E1F24" w:rsidP="00A14A80">
            <w:pPr>
              <w:spacing w:before="120" w:after="120"/>
              <w:jc w:val="center"/>
              <w:rPr>
                <w:rFonts w:asciiTheme="minorHAnsi" w:hAnsiTheme="minorHAnsi" w:cs="Times New Roman"/>
              </w:rPr>
            </w:pPr>
          </w:p>
        </w:tc>
        <w:tc>
          <w:tcPr>
            <w:tcW w:w="7560" w:type="dxa"/>
          </w:tcPr>
          <w:p w:rsidR="002E1F24" w:rsidRPr="0006342C" w:rsidRDefault="002E1F24" w:rsidP="00DC013E">
            <w:pPr>
              <w:autoSpaceDE w:val="0"/>
              <w:autoSpaceDN w:val="0"/>
              <w:adjustRightInd w:val="0"/>
              <w:rPr>
                <w:rFonts w:asciiTheme="minorHAnsi" w:hAnsiTheme="minorHAnsi"/>
                <w:color w:val="000000"/>
              </w:rPr>
            </w:pPr>
            <w:r w:rsidRPr="0006342C">
              <w:rPr>
                <w:rFonts w:asciiTheme="minorHAnsi" w:hAnsiTheme="minorHAnsi"/>
                <w:color w:val="000000"/>
              </w:rPr>
              <w:t>I can recognize that measures of variation for a data set describe how its values vary with a single number.</w:t>
            </w:r>
          </w:p>
        </w:tc>
      </w:tr>
      <w:tr w:rsidR="00416DC4" w:rsidRPr="00156327" w:rsidTr="0006342C">
        <w:trPr>
          <w:trHeight w:val="288"/>
        </w:trPr>
        <w:tc>
          <w:tcPr>
            <w:tcW w:w="1170" w:type="dxa"/>
            <w:vMerge w:val="restart"/>
          </w:tcPr>
          <w:p w:rsidR="00416DC4" w:rsidRPr="0006342C" w:rsidRDefault="00416DC4" w:rsidP="00B37A54">
            <w:pPr>
              <w:spacing w:before="120" w:after="120"/>
              <w:rPr>
                <w:rFonts w:asciiTheme="minorHAnsi" w:hAnsiTheme="minorHAnsi" w:cs="Times New Roman"/>
                <w:b/>
              </w:rPr>
            </w:pPr>
            <w:r w:rsidRPr="0006342C">
              <w:rPr>
                <w:rFonts w:asciiTheme="minorHAnsi" w:hAnsiTheme="minorHAnsi" w:cs="Times New Roman"/>
                <w:b/>
              </w:rPr>
              <w:t>SP.4</w:t>
            </w: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identify the components of dot plots, histograms, and box plots.</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find the median, quartile, and interquartile range of a set of data.</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analyze a set of data to determine its variance.</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create a dot plot to display a set of numerical data.</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create a histogram to display a set of numerical data.</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create a box plot to display a set of numerical data.</w:t>
            </w:r>
          </w:p>
        </w:tc>
      </w:tr>
      <w:tr w:rsidR="00416DC4" w:rsidRPr="00156327" w:rsidTr="0006342C">
        <w:trPr>
          <w:trHeight w:val="288"/>
        </w:trPr>
        <w:tc>
          <w:tcPr>
            <w:tcW w:w="1170" w:type="dxa"/>
          </w:tcPr>
          <w:p w:rsidR="00416DC4" w:rsidRPr="0006342C" w:rsidRDefault="00416DC4" w:rsidP="00B37A54">
            <w:pPr>
              <w:spacing w:before="120" w:after="120"/>
              <w:rPr>
                <w:rFonts w:asciiTheme="minorHAnsi" w:hAnsiTheme="minorHAnsi" w:cs="Times New Roman"/>
                <w:b/>
              </w:rPr>
            </w:pPr>
            <w:r w:rsidRPr="0006342C">
              <w:rPr>
                <w:rFonts w:asciiTheme="minorHAnsi" w:hAnsiTheme="minorHAnsi" w:cs="Times New Roman"/>
                <w:b/>
              </w:rPr>
              <w:t>SP.5a</w:t>
            </w: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summarize numerical data sets in relation to their context by reporting the number of observations.</w:t>
            </w:r>
          </w:p>
        </w:tc>
      </w:tr>
      <w:tr w:rsidR="00416DC4" w:rsidRPr="00156327" w:rsidTr="0006342C">
        <w:trPr>
          <w:trHeight w:val="288"/>
        </w:trPr>
        <w:tc>
          <w:tcPr>
            <w:tcW w:w="1170" w:type="dxa"/>
            <w:vMerge w:val="restart"/>
          </w:tcPr>
          <w:p w:rsidR="00416DC4" w:rsidRPr="0006342C" w:rsidRDefault="00416DC4" w:rsidP="00B37A54">
            <w:pPr>
              <w:spacing w:before="120" w:after="120"/>
              <w:rPr>
                <w:rFonts w:asciiTheme="minorHAnsi" w:hAnsiTheme="minorHAnsi" w:cs="Times New Roman"/>
                <w:b/>
              </w:rPr>
            </w:pPr>
            <w:r w:rsidRPr="0006342C">
              <w:rPr>
                <w:rFonts w:asciiTheme="minorHAnsi" w:hAnsiTheme="minorHAnsi" w:cs="Times New Roman"/>
                <w:b/>
              </w:rPr>
              <w:t>SP.5b</w:t>
            </w: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 xml:space="preserve">I can organize and display data in tables and graphs. </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describe the data being collected, including how it was measured and its units of measurement.</w:t>
            </w:r>
          </w:p>
        </w:tc>
      </w:tr>
      <w:tr w:rsidR="00416DC4" w:rsidRPr="00156327" w:rsidTr="0006342C">
        <w:trPr>
          <w:trHeight w:val="288"/>
        </w:trPr>
        <w:tc>
          <w:tcPr>
            <w:tcW w:w="1170" w:type="dxa"/>
            <w:vMerge w:val="restart"/>
          </w:tcPr>
          <w:p w:rsidR="00416DC4" w:rsidRPr="0006342C" w:rsidRDefault="00416DC4" w:rsidP="00B37A54">
            <w:pPr>
              <w:spacing w:before="120" w:after="120"/>
              <w:rPr>
                <w:rFonts w:asciiTheme="minorHAnsi" w:hAnsiTheme="minorHAnsi" w:cs="Times New Roman"/>
                <w:b/>
              </w:rPr>
            </w:pPr>
            <w:r w:rsidRPr="0006342C">
              <w:rPr>
                <w:rFonts w:asciiTheme="minorHAnsi" w:hAnsiTheme="minorHAnsi" w:cs="Times New Roman"/>
                <w:b/>
              </w:rPr>
              <w:t>SP.5c</w:t>
            </w: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06342C">
            <w:pPr>
              <w:autoSpaceDE w:val="0"/>
              <w:autoSpaceDN w:val="0"/>
              <w:adjustRightInd w:val="0"/>
              <w:rPr>
                <w:rFonts w:asciiTheme="minorHAnsi" w:hAnsiTheme="minorHAnsi"/>
                <w:color w:val="000000"/>
              </w:rPr>
            </w:pPr>
            <w:r w:rsidRPr="0006342C">
              <w:rPr>
                <w:rFonts w:asciiTheme="minorHAnsi" w:hAnsiTheme="minorHAnsi"/>
                <w:color w:val="000000"/>
              </w:rPr>
              <w:t>I can calculate quantitative measures of center (mean</w:t>
            </w:r>
            <w:r w:rsidR="0006342C" w:rsidRPr="0006342C">
              <w:rPr>
                <w:rFonts w:asciiTheme="minorHAnsi" w:hAnsiTheme="minorHAnsi"/>
                <w:color w:val="000000"/>
              </w:rPr>
              <w:t xml:space="preserve"> and</w:t>
            </w:r>
            <w:r w:rsidRPr="0006342C">
              <w:rPr>
                <w:rFonts w:asciiTheme="minorHAnsi" w:hAnsiTheme="minorHAnsi"/>
                <w:color w:val="000000"/>
              </w:rPr>
              <w:t xml:space="preserve"> median). </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06342C">
            <w:pPr>
              <w:autoSpaceDE w:val="0"/>
              <w:autoSpaceDN w:val="0"/>
              <w:adjustRightInd w:val="0"/>
              <w:rPr>
                <w:rFonts w:asciiTheme="minorHAnsi" w:hAnsiTheme="minorHAnsi"/>
                <w:color w:val="000000"/>
              </w:rPr>
            </w:pPr>
            <w:r w:rsidRPr="0006342C">
              <w:rPr>
                <w:rFonts w:asciiTheme="minorHAnsi" w:hAnsiTheme="minorHAnsi"/>
                <w:color w:val="000000"/>
              </w:rPr>
              <w:t>I can calculate measures of variance (interquartile range, and mean absolute deviation</w:t>
            </w:r>
            <w:r w:rsidR="0006342C" w:rsidRPr="0006342C">
              <w:rPr>
                <w:rFonts w:asciiTheme="minorHAnsi" w:hAnsiTheme="minorHAnsi"/>
                <w:color w:val="000000"/>
              </w:rPr>
              <w:t xml:space="preserve"> (Math 67)</w:t>
            </w:r>
            <w:r w:rsidRPr="0006342C">
              <w:rPr>
                <w:rFonts w:asciiTheme="minorHAnsi" w:hAnsiTheme="minorHAnsi"/>
                <w:color w:val="000000"/>
              </w:rPr>
              <w:t xml:space="preserve">). </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I can choose the appropriate measure of central tendency to represent the data.</w:t>
            </w:r>
          </w:p>
        </w:tc>
      </w:tr>
      <w:tr w:rsidR="00416DC4" w:rsidRPr="00156327" w:rsidTr="0006342C">
        <w:trPr>
          <w:trHeight w:val="288"/>
        </w:trPr>
        <w:tc>
          <w:tcPr>
            <w:tcW w:w="1170" w:type="dxa"/>
            <w:vMerge w:val="restart"/>
          </w:tcPr>
          <w:p w:rsidR="00416DC4" w:rsidRPr="0006342C" w:rsidRDefault="00416DC4" w:rsidP="00B37A54">
            <w:pPr>
              <w:spacing w:before="120" w:after="120"/>
              <w:rPr>
                <w:rFonts w:asciiTheme="minorHAnsi" w:hAnsiTheme="minorHAnsi" w:cs="Times New Roman"/>
                <w:b/>
              </w:rPr>
            </w:pPr>
            <w:r w:rsidRPr="0006342C">
              <w:rPr>
                <w:rFonts w:asciiTheme="minorHAnsi" w:hAnsiTheme="minorHAnsi" w:cs="Times New Roman"/>
                <w:b/>
              </w:rPr>
              <w:lastRenderedPageBreak/>
              <w:t>SP.5d</w:t>
            </w: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autoSpaceDE w:val="0"/>
              <w:autoSpaceDN w:val="0"/>
              <w:adjustRightInd w:val="0"/>
              <w:rPr>
                <w:rFonts w:asciiTheme="minorHAnsi" w:hAnsiTheme="minorHAnsi"/>
                <w:color w:val="000000"/>
              </w:rPr>
            </w:pPr>
            <w:r w:rsidRPr="0006342C">
              <w:rPr>
                <w:rFonts w:asciiTheme="minorHAnsi" w:hAnsiTheme="minorHAnsi"/>
                <w:color w:val="000000"/>
              </w:rPr>
              <w:t xml:space="preserve">I can identify outliers. </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pStyle w:val="Default"/>
              <w:tabs>
                <w:tab w:val="left" w:pos="972"/>
              </w:tabs>
              <w:rPr>
                <w:rFonts w:asciiTheme="minorHAnsi" w:hAnsiTheme="minorHAnsi"/>
              </w:rPr>
            </w:pPr>
            <w:r w:rsidRPr="0006342C">
              <w:rPr>
                <w:rFonts w:asciiTheme="minorHAnsi" w:hAnsiTheme="minorHAnsi"/>
              </w:rPr>
              <w:t>I can determine the effect of outliers on quantitative measures of a set of data, such as mean, median, mode, range, interquartile range, and mean absolute deviation</w:t>
            </w:r>
            <w:r w:rsidR="0006342C">
              <w:rPr>
                <w:rFonts w:asciiTheme="minorHAnsi" w:hAnsiTheme="minorHAnsi"/>
              </w:rPr>
              <w:t xml:space="preserve"> (Math 67)</w:t>
            </w:r>
            <w:r w:rsidRPr="0006342C">
              <w:rPr>
                <w:rFonts w:asciiTheme="minorHAnsi" w:hAnsiTheme="minorHAnsi"/>
              </w:rPr>
              <w:t>.</w:t>
            </w:r>
          </w:p>
        </w:tc>
      </w:tr>
      <w:tr w:rsidR="00416DC4" w:rsidRPr="00156327" w:rsidTr="0006342C">
        <w:trPr>
          <w:trHeight w:val="288"/>
        </w:trPr>
        <w:tc>
          <w:tcPr>
            <w:tcW w:w="1170" w:type="dxa"/>
            <w:vMerge/>
          </w:tcPr>
          <w:p w:rsidR="00416DC4" w:rsidRPr="0006342C" w:rsidRDefault="00416DC4" w:rsidP="00B37A54">
            <w:pPr>
              <w:spacing w:before="120" w:after="120"/>
              <w:rPr>
                <w:rFonts w:asciiTheme="minorHAnsi" w:hAnsiTheme="minorHAnsi" w:cs="Times New Roman"/>
                <w:b/>
              </w:rPr>
            </w:pPr>
          </w:p>
        </w:tc>
        <w:tc>
          <w:tcPr>
            <w:tcW w:w="1260" w:type="dxa"/>
          </w:tcPr>
          <w:p w:rsidR="00416DC4" w:rsidRPr="0006342C" w:rsidRDefault="00416DC4" w:rsidP="00A14A80">
            <w:pPr>
              <w:spacing w:before="120" w:after="120"/>
              <w:jc w:val="center"/>
              <w:rPr>
                <w:rFonts w:asciiTheme="minorHAnsi" w:hAnsiTheme="minorHAnsi" w:cs="Times New Roman"/>
              </w:rPr>
            </w:pPr>
          </w:p>
        </w:tc>
        <w:tc>
          <w:tcPr>
            <w:tcW w:w="7560" w:type="dxa"/>
          </w:tcPr>
          <w:p w:rsidR="00416DC4" w:rsidRPr="0006342C" w:rsidRDefault="00416DC4" w:rsidP="00DC013E">
            <w:pPr>
              <w:pStyle w:val="Default"/>
              <w:rPr>
                <w:rFonts w:asciiTheme="minorHAnsi" w:hAnsiTheme="minorHAnsi"/>
              </w:rPr>
            </w:pPr>
            <w:r w:rsidRPr="0006342C">
              <w:rPr>
                <w:rFonts w:asciiTheme="minorHAnsi" w:hAnsiTheme="minorHAnsi"/>
              </w:rPr>
              <w:t>I can analyze the shape of the data distribution and the context in which the data were gathered to choose the appropriate measures of central tendency and variability and justify why this measure is appropriate in terms of the context.</w:t>
            </w:r>
          </w:p>
        </w:tc>
      </w:tr>
    </w:tbl>
    <w:p w:rsidR="00B901BC" w:rsidRDefault="00B901BC"/>
    <w:sectPr w:rsidR="00B901BC" w:rsidSect="0006342C">
      <w:pgSz w:w="12240" w:h="15840"/>
      <w:pgMar w:top="45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460F"/>
    <w:rsid w:val="0006342C"/>
    <w:rsid w:val="000642B3"/>
    <w:rsid w:val="00064E2D"/>
    <w:rsid w:val="00156327"/>
    <w:rsid w:val="001D0D97"/>
    <w:rsid w:val="00282B9D"/>
    <w:rsid w:val="002E1F24"/>
    <w:rsid w:val="003516E9"/>
    <w:rsid w:val="00356592"/>
    <w:rsid w:val="00416DC4"/>
    <w:rsid w:val="005D3746"/>
    <w:rsid w:val="00706C8F"/>
    <w:rsid w:val="008A60FF"/>
    <w:rsid w:val="00A14A80"/>
    <w:rsid w:val="00B37A54"/>
    <w:rsid w:val="00B901BC"/>
    <w:rsid w:val="00BD183C"/>
    <w:rsid w:val="00BE3043"/>
    <w:rsid w:val="00ED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81F0D-11E1-47C8-B4AC-5C73BF30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3B7"/>
    <w:pPr>
      <w:autoSpaceDE w:val="0"/>
      <w:autoSpaceDN w:val="0"/>
      <w:adjustRightInd w:val="0"/>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Dave Stickle</cp:lastModifiedBy>
  <cp:revision>2</cp:revision>
  <dcterms:created xsi:type="dcterms:W3CDTF">2017-12-17T16:17:00Z</dcterms:created>
  <dcterms:modified xsi:type="dcterms:W3CDTF">2017-12-17T16:17:00Z</dcterms:modified>
</cp:coreProperties>
</file>